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4" w:rsidRPr="00F2020A" w:rsidRDefault="00F80ED4" w:rsidP="00F80ED4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F80ED4" w:rsidRPr="00F2020A" w:rsidRDefault="00F80ED4" w:rsidP="00F80ED4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F80ED4" w:rsidRPr="00F2020A" w:rsidRDefault="00F80ED4" w:rsidP="00F80E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F80ED4" w:rsidRPr="00F2020A" w:rsidRDefault="00F80ED4" w:rsidP="00F80ED4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ABRIL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b/>
        </w:rPr>
      </w:pPr>
    </w:p>
    <w:p w:rsidR="00F80ED4" w:rsidRPr="00EC26D5" w:rsidRDefault="00F80ED4" w:rsidP="00F80ED4">
      <w:pPr>
        <w:spacing w:after="0" w:line="240" w:lineRule="auto"/>
        <w:jc w:val="center"/>
        <w:rPr>
          <w:rFonts w:ascii="Arial" w:hAnsi="Arial" w:cs="Arial"/>
          <w:b/>
        </w:rPr>
      </w:pP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>
        <w:rPr>
          <w:rFonts w:ascii="Arial" w:hAnsi="Arial" w:cs="Arial"/>
          <w:color w:val="808080"/>
          <w:lang w:val="es-ES"/>
        </w:rPr>
        <w:t>14 de mayo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abril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80ED4" w:rsidRPr="001439DD" w:rsidRDefault="00F80ED4" w:rsidP="00F80ED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t>CANAL PRESENCIAL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periodo comprendido entre el 1 y el 30 de abril, se prestó la orientación y el direccionamiento a 3</w:t>
      </w:r>
      <w:r w:rsidR="002447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166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158 ciudadanos.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0030A59F" wp14:editId="654E81C0">
            <wp:extent cx="5907405" cy="4953000"/>
            <wp:effectExtent l="0" t="0" r="1714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Pr="001079BC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abril</w:t>
      </w:r>
      <w:r w:rsidRPr="00495294">
        <w:rPr>
          <w:rFonts w:ascii="Arial" w:hAnsi="Arial" w:cs="Arial"/>
        </w:rPr>
        <w:t xml:space="preserve"> a la Caja de la Vivienda Popular se distribuyó así: 4</w:t>
      </w:r>
      <w:r>
        <w:rPr>
          <w:rFonts w:ascii="Arial" w:hAnsi="Arial" w:cs="Arial"/>
        </w:rPr>
        <w:t>4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69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28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02</w:t>
      </w:r>
      <w:r w:rsidRPr="00495294">
        <w:rPr>
          <w:rFonts w:ascii="Arial" w:hAnsi="Arial" w:cs="Arial"/>
        </w:rPr>
        <w:t>% para la Dirección de Mejoramiento de Vivienda y un 2</w:t>
      </w:r>
      <w:r>
        <w:rPr>
          <w:rFonts w:ascii="Arial" w:hAnsi="Arial" w:cs="Arial"/>
        </w:rPr>
        <w:t>5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21</w:t>
      </w:r>
      <w:r w:rsidRPr="00495294">
        <w:rPr>
          <w:rFonts w:ascii="Arial" w:hAnsi="Arial" w:cs="Arial"/>
        </w:rPr>
        <w:t>% para la Dirección de Urbanización y Titulaciones; siendo estas las dependencias de mayor demanda de atención con 3.</w:t>
      </w:r>
      <w:r>
        <w:rPr>
          <w:rFonts w:ascii="Arial" w:hAnsi="Arial" w:cs="Arial"/>
        </w:rPr>
        <w:t>100</w:t>
      </w:r>
      <w:r w:rsidRPr="00495294">
        <w:rPr>
          <w:rFonts w:ascii="Arial" w:hAnsi="Arial" w:cs="Arial"/>
        </w:rPr>
        <w:t xml:space="preserve"> asistentes a la entidad.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lastRenderedPageBreak/>
        <w:tab/>
      </w:r>
      <w:r>
        <w:rPr>
          <w:rFonts w:ascii="Arial" w:hAnsi="Arial" w:cs="Arial"/>
          <w:noProof/>
          <w:lang w:eastAsia="es-CO"/>
        </w:rPr>
        <w:tab/>
      </w: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0FD49D6A" wp14:editId="6AA79444">
            <wp:extent cx="5953125" cy="4684395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Pr="004A6881" w:rsidRDefault="00F80ED4" w:rsidP="00F80ED4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Pr="004A6881" w:rsidRDefault="00F80ED4" w:rsidP="00F80ED4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dependencia</w:t>
      </w:r>
      <w:r w:rsidRPr="001079BC">
        <w:rPr>
          <w:rFonts w:ascii="Arial" w:hAnsi="Arial" w:cs="Arial"/>
        </w:rPr>
        <w:t xml:space="preserve"> obtuvo una asistencia de </w:t>
      </w:r>
      <w:r>
        <w:rPr>
          <w:rFonts w:ascii="Arial" w:hAnsi="Arial" w:cs="Arial"/>
        </w:rPr>
        <w:t>1.415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44,69%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abril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93,14% (1.318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F80ED4" w:rsidRPr="009921E5" w:rsidTr="00DC51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DC51C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DIRECCIÓN DE REASENTAMIENTOS HUMANOS</w:t>
            </w:r>
          </w:p>
        </w:tc>
      </w:tr>
      <w:tr w:rsidR="00F80ED4" w:rsidRPr="009921E5" w:rsidTr="00C45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C45BDB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C45B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C45BD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9921E5" w:rsidTr="0004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1</w:t>
            </w:r>
            <w:r w:rsidR="000D3A27">
              <w:rPr>
                <w:rFonts w:eastAsia="Times New Roman"/>
                <w:color w:val="000000"/>
                <w:lang w:eastAsia="es-CO"/>
              </w:rPr>
              <w:t>.</w:t>
            </w:r>
            <w:r w:rsidRPr="009921E5">
              <w:rPr>
                <w:rFonts w:eastAsia="Times New Roman"/>
                <w:color w:val="000000"/>
                <w:lang w:eastAsia="es-CO"/>
              </w:rPr>
              <w:t>318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93,14%</w:t>
            </w:r>
          </w:p>
        </w:tc>
      </w:tr>
      <w:tr w:rsidR="00F80ED4" w:rsidRPr="009921E5" w:rsidTr="00041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201A67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Radicación</w:t>
            </w:r>
            <w:r w:rsidR="00041E43" w:rsidRPr="00041E43">
              <w:rPr>
                <w:rFonts w:eastAsia="Times New Roman"/>
                <w:b w:val="0"/>
                <w:color w:val="000000"/>
                <w:lang w:eastAsia="es-CO"/>
              </w:rPr>
              <w:t xml:space="preserve"> contrato de arriendo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46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3,25%</w:t>
            </w:r>
          </w:p>
        </w:tc>
      </w:tr>
      <w:tr w:rsidR="00F80ED4" w:rsidRPr="009921E5" w:rsidTr="0004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1,41%</w:t>
            </w:r>
          </w:p>
        </w:tc>
      </w:tr>
      <w:tr w:rsidR="00F80ED4" w:rsidRPr="009921E5" w:rsidTr="00041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0,42%</w:t>
            </w:r>
          </w:p>
        </w:tc>
      </w:tr>
      <w:tr w:rsidR="00F80ED4" w:rsidRPr="009921E5" w:rsidTr="0004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Certificado de vinculación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0,42%</w:t>
            </w:r>
          </w:p>
        </w:tc>
      </w:tr>
      <w:tr w:rsidR="00F80ED4" w:rsidRPr="009921E5" w:rsidTr="00041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Respuesta radicado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0,35%</w:t>
            </w:r>
          </w:p>
        </w:tc>
      </w:tr>
      <w:tr w:rsidR="00F80ED4" w:rsidRPr="009921E5" w:rsidTr="0004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0,28%</w:t>
            </w:r>
          </w:p>
        </w:tc>
      </w:tr>
      <w:tr w:rsidR="00F80ED4" w:rsidRPr="009921E5" w:rsidTr="00041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0,28%</w:t>
            </w:r>
          </w:p>
        </w:tc>
      </w:tr>
      <w:tr w:rsidR="00F80ED4" w:rsidRPr="009921E5" w:rsidTr="0004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Entrega vivienda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0,21%</w:t>
            </w:r>
          </w:p>
        </w:tc>
      </w:tr>
      <w:tr w:rsidR="00F80ED4" w:rsidRPr="009921E5" w:rsidTr="00041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vAlign w:val="center"/>
            <w:hideMark/>
          </w:tcPr>
          <w:p w:rsidR="00F80ED4" w:rsidRPr="00041E43" w:rsidRDefault="00041E43" w:rsidP="00041E4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E43">
              <w:rPr>
                <w:rFonts w:eastAsia="Times New Roman"/>
                <w:b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0,21%</w:t>
            </w:r>
          </w:p>
        </w:tc>
      </w:tr>
      <w:tr w:rsidR="00F80ED4" w:rsidRPr="009921E5" w:rsidTr="00C45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9921E5">
              <w:rPr>
                <w:rFonts w:eastAsia="Times New Roman"/>
                <w:b/>
                <w:bCs/>
                <w:lang w:eastAsia="es-CO"/>
              </w:rPr>
              <w:t>1</w:t>
            </w:r>
            <w:r w:rsidR="000D3A27">
              <w:rPr>
                <w:rFonts w:eastAsia="Times New Roman"/>
                <w:b/>
                <w:bCs/>
                <w:lang w:eastAsia="es-CO"/>
              </w:rPr>
              <w:t>.</w:t>
            </w:r>
            <w:r w:rsidRPr="009921E5">
              <w:rPr>
                <w:rFonts w:eastAsia="Times New Roman"/>
                <w:b/>
                <w:bCs/>
                <w:lang w:eastAsia="es-CO"/>
              </w:rPr>
              <w:t>415</w:t>
            </w:r>
          </w:p>
        </w:tc>
        <w:tc>
          <w:tcPr>
            <w:tcW w:w="1780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9921E5">
              <w:rPr>
                <w:rFonts w:eastAsia="Times New Roman"/>
                <w:b/>
                <w:bCs/>
                <w:lang w:eastAsia="es-CO"/>
              </w:rPr>
              <w:t>100</w:t>
            </w:r>
            <w:r w:rsidR="00A813D8">
              <w:rPr>
                <w:rFonts w:eastAsia="Times New Roman"/>
                <w:b/>
                <w:bCs/>
                <w:lang w:eastAsia="es-CO"/>
              </w:rPr>
              <w:t>,00</w:t>
            </w:r>
            <w:r w:rsidRPr="009921E5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rPr>
          <w:rFonts w:ascii="Arial" w:hAnsi="Arial" w:cs="Arial"/>
          <w:b/>
          <w:u w:val="single"/>
        </w:rPr>
      </w:pPr>
    </w:p>
    <w:p w:rsidR="00F80ED4" w:rsidRPr="001026C4" w:rsidRDefault="00F80ED4" w:rsidP="00F80ED4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798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25,21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739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92,61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9859F8" w:rsidRDefault="009859F8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3" w:type="dxa"/>
        <w:tblLook w:val="04A0" w:firstRow="1" w:lastRow="0" w:firstColumn="1" w:lastColumn="0" w:noHBand="0" w:noVBand="1"/>
      </w:tblPr>
      <w:tblGrid>
        <w:gridCol w:w="5949"/>
        <w:gridCol w:w="1843"/>
        <w:gridCol w:w="1701"/>
      </w:tblGrid>
      <w:tr w:rsidR="00F80ED4" w:rsidRPr="009921E5" w:rsidTr="0032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9859F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F80ED4" w:rsidRPr="009921E5" w:rsidTr="00321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9859F8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985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9921E5" w:rsidRDefault="00F80ED4" w:rsidP="009859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9921E5" w:rsidTr="0032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0485C" w:rsidRDefault="0067136A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0485C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10485C" w:rsidRPr="0010485C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739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92,61%</w:t>
            </w:r>
          </w:p>
        </w:tc>
      </w:tr>
      <w:tr w:rsidR="00F80ED4" w:rsidRPr="009921E5" w:rsidTr="003212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F80ED4" w:rsidRPr="0010485C" w:rsidRDefault="0010485C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0485C">
              <w:rPr>
                <w:rFonts w:eastAsia="Times New Roman"/>
                <w:b w:val="0"/>
                <w:color w:val="000000"/>
                <w:lang w:eastAsia="es-CO"/>
              </w:rPr>
              <w:t xml:space="preserve">Solicitar la </w:t>
            </w:r>
            <w:r w:rsidR="0067136A" w:rsidRPr="0010485C">
              <w:rPr>
                <w:rFonts w:eastAsia="Times New Roman"/>
                <w:b w:val="0"/>
                <w:color w:val="000000"/>
                <w:lang w:eastAsia="es-CO"/>
              </w:rPr>
              <w:t>escrituración</w:t>
            </w:r>
            <w:r w:rsidRPr="0010485C">
              <w:rPr>
                <w:rFonts w:eastAsia="Times New Roman"/>
                <w:b w:val="0"/>
                <w:color w:val="000000"/>
                <w:lang w:eastAsia="es-CO"/>
              </w:rPr>
              <w:t xml:space="preserve"> por primera vez</w:t>
            </w:r>
          </w:p>
        </w:tc>
        <w:tc>
          <w:tcPr>
            <w:tcW w:w="1843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43</w:t>
            </w:r>
          </w:p>
        </w:tc>
        <w:tc>
          <w:tcPr>
            <w:tcW w:w="1701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5,39%</w:t>
            </w:r>
          </w:p>
        </w:tc>
      </w:tr>
      <w:tr w:rsidR="00F80ED4" w:rsidRPr="009921E5" w:rsidTr="00321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F80ED4" w:rsidRPr="0010485C" w:rsidRDefault="0067136A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0485C">
              <w:rPr>
                <w:rFonts w:eastAsia="Times New Roman"/>
                <w:b w:val="0"/>
                <w:color w:val="000000"/>
                <w:lang w:eastAsia="es-CO"/>
              </w:rPr>
              <w:t>Radicación</w:t>
            </w:r>
            <w:r w:rsidR="0010485C" w:rsidRPr="0010485C">
              <w:rPr>
                <w:rFonts w:eastAsia="Times New Roman"/>
                <w:b w:val="0"/>
                <w:color w:val="000000"/>
                <w:lang w:eastAsia="es-CO"/>
              </w:rPr>
              <w:t xml:space="preserve"> de </w:t>
            </w:r>
            <w:r w:rsidRPr="0010485C">
              <w:rPr>
                <w:rFonts w:eastAsia="Times New Roman"/>
                <w:b w:val="0"/>
                <w:color w:val="000000"/>
                <w:lang w:eastAsia="es-CO"/>
              </w:rPr>
              <w:t>cancelación</w:t>
            </w:r>
            <w:r w:rsidR="0010485C" w:rsidRPr="0010485C">
              <w:rPr>
                <w:rFonts w:eastAsia="Times New Roman"/>
                <w:b w:val="0"/>
                <w:color w:val="000000"/>
                <w:lang w:eastAsia="es-CO"/>
              </w:rPr>
              <w:t xml:space="preserve"> de hipoteca y condiciones resolutorias</w:t>
            </w:r>
          </w:p>
        </w:tc>
        <w:tc>
          <w:tcPr>
            <w:tcW w:w="1843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9921E5">
              <w:rPr>
                <w:rFonts w:eastAsia="Times New Roman"/>
                <w:color w:val="000000"/>
                <w:lang w:eastAsia="es-CO"/>
              </w:rPr>
              <w:t>2,0</w:t>
            </w:r>
            <w:r w:rsidR="009859F8">
              <w:rPr>
                <w:rFonts w:eastAsia="Times New Roman"/>
                <w:color w:val="000000"/>
                <w:lang w:eastAsia="es-CO"/>
              </w:rPr>
              <w:t>0</w:t>
            </w:r>
            <w:r w:rsidRPr="009921E5"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F80ED4" w:rsidRPr="009921E5" w:rsidTr="003212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9921E5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843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9921E5">
              <w:rPr>
                <w:rFonts w:eastAsia="Times New Roman"/>
                <w:b/>
                <w:bCs/>
                <w:lang w:eastAsia="es-CO"/>
              </w:rPr>
              <w:t>798</w:t>
            </w:r>
          </w:p>
        </w:tc>
        <w:tc>
          <w:tcPr>
            <w:tcW w:w="1701" w:type="dxa"/>
            <w:hideMark/>
          </w:tcPr>
          <w:p w:rsidR="00F80ED4" w:rsidRPr="009921E5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9921E5">
              <w:rPr>
                <w:rFonts w:eastAsia="Times New Roman"/>
                <w:b/>
                <w:bCs/>
                <w:lang w:eastAsia="es-CO"/>
              </w:rPr>
              <w:t>100</w:t>
            </w:r>
            <w:r w:rsidR="00A813D8">
              <w:rPr>
                <w:rFonts w:eastAsia="Times New Roman"/>
                <w:b/>
                <w:bCs/>
                <w:lang w:eastAsia="es-CO"/>
              </w:rPr>
              <w:t>,00</w:t>
            </w:r>
            <w:r w:rsidRPr="009921E5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rPr>
          <w:rFonts w:ascii="Arial" w:hAnsi="Arial" w:cs="Arial"/>
          <w:b/>
          <w:u w:val="single"/>
        </w:rPr>
      </w:pPr>
    </w:p>
    <w:p w:rsidR="00F80ED4" w:rsidRPr="00A250B4" w:rsidRDefault="00F80ED4" w:rsidP="00F80ED4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3D7E3F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La dependencia misional</w:t>
      </w:r>
      <w:r w:rsidR="00F80ED4" w:rsidRPr="001079BC">
        <w:rPr>
          <w:rFonts w:ascii="Arial" w:hAnsi="Arial" w:cs="Arial"/>
        </w:rPr>
        <w:t xml:space="preserve"> de Mejoramiento de Vivienda atendió a </w:t>
      </w:r>
      <w:r w:rsidR="00F80ED4">
        <w:rPr>
          <w:rFonts w:ascii="Arial" w:hAnsi="Arial" w:cs="Arial"/>
        </w:rPr>
        <w:t>887</w:t>
      </w:r>
      <w:r w:rsidR="00F80ED4" w:rsidRPr="001079BC">
        <w:rPr>
          <w:rFonts w:ascii="Arial" w:hAnsi="Arial" w:cs="Arial"/>
        </w:rPr>
        <w:t xml:space="preserve"> ciudadanos, que representan el </w:t>
      </w:r>
      <w:r w:rsidR="00F80ED4">
        <w:rPr>
          <w:rFonts w:ascii="Arial" w:hAnsi="Arial" w:cs="Arial"/>
        </w:rPr>
        <w:t>28,02</w:t>
      </w:r>
      <w:r w:rsidR="00F80ED4" w:rsidRPr="001079BC">
        <w:rPr>
          <w:rFonts w:ascii="Arial" w:hAnsi="Arial" w:cs="Arial"/>
        </w:rPr>
        <w:t>% del total qu</w:t>
      </w:r>
      <w:r w:rsidR="00F80ED4">
        <w:rPr>
          <w:rFonts w:ascii="Arial" w:hAnsi="Arial" w:cs="Arial"/>
        </w:rPr>
        <w:t>e se acercaron a la CVP durante abril de 2019</w:t>
      </w:r>
      <w:r w:rsidR="00F80ED4" w:rsidRPr="001079BC">
        <w:rPr>
          <w:rFonts w:ascii="Arial" w:hAnsi="Arial" w:cs="Arial"/>
        </w:rPr>
        <w:t xml:space="preserve">. </w:t>
      </w:r>
      <w:r w:rsidR="00F80ED4">
        <w:rPr>
          <w:rFonts w:ascii="Arial" w:hAnsi="Arial" w:cs="Arial"/>
        </w:rPr>
        <w:t>E</w:t>
      </w:r>
      <w:r w:rsidR="00F80ED4" w:rsidRPr="001079BC">
        <w:rPr>
          <w:rFonts w:ascii="Arial" w:hAnsi="Arial" w:cs="Arial"/>
        </w:rPr>
        <w:t xml:space="preserve">n su mayoría solicitaron </w:t>
      </w:r>
      <w:r w:rsidR="00F80ED4">
        <w:rPr>
          <w:rFonts w:ascii="Arial" w:hAnsi="Arial" w:cs="Arial"/>
        </w:rPr>
        <w:t>Información general de mejoramiento de vivienda</w:t>
      </w:r>
      <w:r w:rsidR="00F80ED4" w:rsidRPr="001079BC">
        <w:rPr>
          <w:rFonts w:ascii="Arial" w:hAnsi="Arial" w:cs="Arial"/>
        </w:rPr>
        <w:t>; lo anterior represent</w:t>
      </w:r>
      <w:r w:rsidR="00F80ED4">
        <w:rPr>
          <w:rFonts w:ascii="Arial" w:hAnsi="Arial" w:cs="Arial"/>
        </w:rPr>
        <w:t>a</w:t>
      </w:r>
      <w:r w:rsidR="00F80ED4" w:rsidRPr="001079BC">
        <w:rPr>
          <w:rFonts w:ascii="Arial" w:hAnsi="Arial" w:cs="Arial"/>
        </w:rPr>
        <w:t xml:space="preserve"> el </w:t>
      </w:r>
      <w:r w:rsidR="00F80ED4">
        <w:rPr>
          <w:rFonts w:ascii="Arial" w:hAnsi="Arial" w:cs="Arial"/>
        </w:rPr>
        <w:lastRenderedPageBreak/>
        <w:t>89,52</w:t>
      </w:r>
      <w:r w:rsidR="00F80ED4" w:rsidRPr="001079BC">
        <w:rPr>
          <w:rFonts w:ascii="Arial" w:hAnsi="Arial" w:cs="Arial"/>
        </w:rPr>
        <w:t>% (</w:t>
      </w:r>
      <w:r w:rsidR="00F80ED4">
        <w:rPr>
          <w:rFonts w:ascii="Arial" w:hAnsi="Arial" w:cs="Arial"/>
        </w:rPr>
        <w:t>794</w:t>
      </w:r>
      <w:r w:rsidR="00F80ED4" w:rsidRPr="001079BC">
        <w:rPr>
          <w:rFonts w:ascii="Arial" w:hAnsi="Arial" w:cs="Arial"/>
        </w:rPr>
        <w:t>) de los ciudadanos que se acercaron a esta dependencia.</w:t>
      </w:r>
      <w:r w:rsidR="00F80ED4">
        <w:rPr>
          <w:rFonts w:ascii="Arial" w:hAnsi="Arial" w:cs="Arial"/>
        </w:rPr>
        <w:t xml:space="preserve"> Un 10,48% de los usuarios, se acercaron a la Entidad con el fin de solicitar asistencia técnica para la obtención de licencias de construcción o actos de reconocimiento.</w:t>
      </w:r>
    </w:p>
    <w:p w:rsidR="003D7E3F" w:rsidRDefault="003D7E3F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F80ED4" w:rsidRPr="002E34C7" w:rsidTr="003D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3D7E3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F80ED4" w:rsidRPr="002E34C7" w:rsidTr="003D7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3D7E3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3D7E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3D7E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2E34C7" w:rsidTr="003D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655264" w:rsidRDefault="00873BF2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55264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655264" w:rsidRPr="00655264">
              <w:rPr>
                <w:rFonts w:eastAsia="Times New Roman"/>
                <w:b w:val="0"/>
                <w:color w:val="000000"/>
                <w:lang w:eastAsia="es-CO"/>
              </w:rPr>
              <w:t xml:space="preserve"> general de mejoramiento de vivienda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794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89,52%</w:t>
            </w:r>
          </w:p>
        </w:tc>
      </w:tr>
      <w:tr w:rsidR="00F80ED4" w:rsidRPr="002E34C7" w:rsidTr="003D7E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655264" w:rsidRDefault="0065526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55264">
              <w:rPr>
                <w:rFonts w:eastAsia="Times New Roman"/>
                <w:b w:val="0"/>
                <w:color w:val="000000"/>
                <w:lang w:eastAsia="es-CO"/>
              </w:rPr>
              <w:t xml:space="preserve">Asistencia </w:t>
            </w:r>
            <w:r w:rsidR="00873BF2" w:rsidRPr="00655264">
              <w:rPr>
                <w:rFonts w:eastAsia="Times New Roman"/>
                <w:b w:val="0"/>
                <w:color w:val="000000"/>
                <w:lang w:eastAsia="es-CO"/>
              </w:rPr>
              <w:t>técnica</w:t>
            </w:r>
          </w:p>
        </w:tc>
        <w:tc>
          <w:tcPr>
            <w:tcW w:w="1780" w:type="dxa"/>
            <w:noWrap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93</w:t>
            </w:r>
          </w:p>
        </w:tc>
        <w:tc>
          <w:tcPr>
            <w:tcW w:w="1780" w:type="dxa"/>
            <w:noWrap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10,48%</w:t>
            </w:r>
          </w:p>
        </w:tc>
      </w:tr>
      <w:tr w:rsidR="00F80ED4" w:rsidRPr="002E34C7" w:rsidTr="003D7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2E34C7">
              <w:rPr>
                <w:rFonts w:eastAsia="Times New Roman"/>
                <w:b/>
                <w:bCs/>
                <w:lang w:eastAsia="es-CO"/>
              </w:rPr>
              <w:t>887</w:t>
            </w:r>
          </w:p>
        </w:tc>
        <w:tc>
          <w:tcPr>
            <w:tcW w:w="1780" w:type="dxa"/>
            <w:hideMark/>
          </w:tcPr>
          <w:p w:rsidR="00F80ED4" w:rsidRPr="002E34C7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2E34C7">
              <w:rPr>
                <w:rFonts w:eastAsia="Times New Roman"/>
                <w:b/>
                <w:bCs/>
                <w:lang w:eastAsia="es-CO"/>
              </w:rPr>
              <w:t>100</w:t>
            </w:r>
            <w:r w:rsidR="00755865">
              <w:rPr>
                <w:rFonts w:eastAsia="Times New Roman"/>
                <w:b/>
                <w:bCs/>
                <w:lang w:eastAsia="es-CO"/>
              </w:rPr>
              <w:t>.00</w:t>
            </w:r>
            <w:r w:rsidRPr="002E34C7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E1178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Pr="000B04ED" w:rsidRDefault="00F80ED4" w:rsidP="00F80ED4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Default="00F80ED4" w:rsidP="00E1178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abril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10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:rsidR="00E1178F" w:rsidRDefault="00E1178F" w:rsidP="00E1178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F80ED4" w:rsidRPr="002E34C7" w:rsidTr="00E1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F80ED4" w:rsidRPr="002E34C7" w:rsidTr="00E1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2E34C7" w:rsidTr="00E1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E05113" w:rsidRDefault="00B5405D" w:rsidP="00E1178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05113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2E34C7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80ED4" w:rsidRPr="002E34C7" w:rsidTr="00E117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2E34C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2E34C7">
              <w:rPr>
                <w:rFonts w:eastAsia="Times New Roman"/>
                <w:b/>
                <w:bCs/>
                <w:lang w:eastAsia="es-CO"/>
              </w:rPr>
              <w:t>10</w:t>
            </w:r>
          </w:p>
        </w:tc>
        <w:tc>
          <w:tcPr>
            <w:tcW w:w="1780" w:type="dxa"/>
            <w:hideMark/>
          </w:tcPr>
          <w:p w:rsidR="00F80ED4" w:rsidRPr="002E34C7" w:rsidRDefault="00F80ED4" w:rsidP="00E117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2E34C7">
              <w:rPr>
                <w:rFonts w:eastAsia="Times New Roman"/>
                <w:b/>
                <w:bCs/>
                <w:lang w:eastAsia="es-CO"/>
              </w:rPr>
              <w:t>100</w:t>
            </w:r>
            <w:r w:rsidR="00CF4DEB">
              <w:rPr>
                <w:rFonts w:eastAsia="Times New Roman"/>
                <w:b/>
                <w:bCs/>
                <w:lang w:eastAsia="es-CO"/>
              </w:rPr>
              <w:t>,00</w:t>
            </w:r>
            <w:r w:rsidRPr="002E34C7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E1178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E1178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80ED4" w:rsidRDefault="00F80ED4" w:rsidP="00E1178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F80ED4" w:rsidRPr="00E56F1D" w:rsidRDefault="00F80ED4" w:rsidP="00E1178F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46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1,45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abril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16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(34,78%),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sobre el proceso de cartera, 14 personas (30,43%) solicitaron información sobre su estado de cuenta, 9 (19,57%) se acercaron para expedición de paz y salvos y 5 (10.87%), para solicitar la impresión y entrega de talonarios con recibos de pago de la obligación.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540" w:type="dxa"/>
        <w:tblLook w:val="04A0" w:firstRow="1" w:lastRow="0" w:firstColumn="1" w:lastColumn="0" w:noHBand="0" w:noVBand="1"/>
      </w:tblPr>
      <w:tblGrid>
        <w:gridCol w:w="5980"/>
        <w:gridCol w:w="1780"/>
        <w:gridCol w:w="1780"/>
      </w:tblGrid>
      <w:tr w:rsidR="00F80ED4" w:rsidRPr="00BE368F" w:rsidTr="002D4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2D42D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 xml:space="preserve">SUBDIRECCIÓN FINANCIERA </w:t>
            </w:r>
            <w:r w:rsidR="0088300E">
              <w:rPr>
                <w:rFonts w:eastAsia="Times New Roman"/>
                <w:lang w:eastAsia="es-CO"/>
              </w:rPr>
              <w:t xml:space="preserve">- </w:t>
            </w:r>
            <w:r w:rsidRPr="00BE368F">
              <w:rPr>
                <w:rFonts w:eastAsia="Times New Roman"/>
                <w:lang w:eastAsia="es-CO"/>
              </w:rPr>
              <w:t>Cartera</w:t>
            </w:r>
          </w:p>
        </w:tc>
      </w:tr>
      <w:tr w:rsidR="00F80ED4" w:rsidRPr="00BE368F" w:rsidTr="0044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2D42D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2D42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2D42D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BE368F" w:rsidTr="002D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E17DAD" w:rsidRDefault="00973301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7DAD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Acuerdo de pago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4,35%</w:t>
            </w:r>
          </w:p>
        </w:tc>
      </w:tr>
      <w:tr w:rsidR="00F80ED4" w:rsidRPr="00BE368F" w:rsidTr="002D42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shd w:val="clear" w:color="auto" w:fill="auto"/>
            <w:noWrap/>
            <w:hideMark/>
          </w:tcPr>
          <w:p w:rsidR="00F80ED4" w:rsidRPr="00E17DAD" w:rsidRDefault="00973301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7DAD">
              <w:rPr>
                <w:rFonts w:eastAsia="Times New Roman"/>
                <w:b w:val="0"/>
                <w:color w:val="000000"/>
                <w:lang w:eastAsia="es-CO"/>
              </w:rPr>
              <w:t>Expedición de paz y salvos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19,57%</w:t>
            </w:r>
          </w:p>
        </w:tc>
      </w:tr>
      <w:tr w:rsidR="00F80ED4" w:rsidRPr="00BE368F" w:rsidTr="002D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E17DAD" w:rsidRDefault="00973301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7DAD">
              <w:rPr>
                <w:rFonts w:eastAsia="Times New Roman"/>
                <w:b w:val="0"/>
                <w:color w:val="000000"/>
                <w:lang w:eastAsia="es-CO"/>
              </w:rPr>
              <w:t>Impresión talonario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10,87%</w:t>
            </w:r>
          </w:p>
        </w:tc>
      </w:tr>
      <w:tr w:rsidR="00F80ED4" w:rsidRPr="00BE368F" w:rsidTr="002D42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E17DAD" w:rsidRDefault="00973301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7DAD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34,78%</w:t>
            </w:r>
          </w:p>
        </w:tc>
      </w:tr>
      <w:tr w:rsidR="00F80ED4" w:rsidRPr="00BE368F" w:rsidTr="002D4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E17DAD" w:rsidRDefault="00973301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E17DAD">
              <w:rPr>
                <w:rFonts w:eastAsia="Times New Roman"/>
                <w:b w:val="0"/>
                <w:color w:val="000000"/>
                <w:lang w:eastAsia="es-CO"/>
              </w:rPr>
              <w:t>Información estado de cuenta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14</w:t>
            </w:r>
          </w:p>
        </w:tc>
        <w:tc>
          <w:tcPr>
            <w:tcW w:w="1780" w:type="dxa"/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30,43%</w:t>
            </w:r>
          </w:p>
        </w:tc>
      </w:tr>
      <w:tr w:rsidR="00F80ED4" w:rsidRPr="00BE368F" w:rsidTr="002D42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178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E368F">
              <w:rPr>
                <w:rFonts w:eastAsia="Times New Roman"/>
                <w:b/>
                <w:bCs/>
                <w:lang w:eastAsia="es-CO"/>
              </w:rPr>
              <w:t>46</w:t>
            </w:r>
          </w:p>
        </w:tc>
        <w:tc>
          <w:tcPr>
            <w:tcW w:w="178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E368F">
              <w:rPr>
                <w:rFonts w:eastAsia="Times New Roman"/>
                <w:b/>
                <w:bCs/>
                <w:lang w:eastAsia="es-CO"/>
              </w:rPr>
              <w:t>100</w:t>
            </w:r>
            <w:r w:rsidR="00A26CBD">
              <w:rPr>
                <w:rFonts w:eastAsia="Times New Roman"/>
                <w:b/>
                <w:bCs/>
                <w:lang w:eastAsia="es-CO"/>
              </w:rPr>
              <w:t>,00</w:t>
            </w:r>
            <w:r w:rsidRPr="00BE368F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Pr="00E56F1D" w:rsidRDefault="00F80ED4" w:rsidP="00F80ED4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</w:t>
      </w:r>
      <w:r>
        <w:rPr>
          <w:rFonts w:ascii="Arial" w:hAnsi="Arial" w:cs="Arial"/>
          <w:b/>
          <w:u w:val="single"/>
        </w:rPr>
        <w:t>Administrativa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</w:t>
      </w:r>
      <w:r>
        <w:rPr>
          <w:rFonts w:ascii="Arial" w:hAnsi="Arial" w:cs="Arial"/>
        </w:rPr>
        <w:t>Administrativa</w:t>
      </w:r>
      <w:r w:rsidRPr="001079BC">
        <w:rPr>
          <w:rFonts w:ascii="Arial" w:hAnsi="Arial" w:cs="Arial"/>
        </w:rPr>
        <w:t xml:space="preserve"> atendió a </w:t>
      </w:r>
      <w:r>
        <w:rPr>
          <w:rFonts w:ascii="Arial" w:hAnsi="Arial" w:cs="Arial"/>
        </w:rPr>
        <w:t>3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0,09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abril de 2019.</w:t>
      </w:r>
    </w:p>
    <w:p w:rsidR="0011380E" w:rsidRDefault="0011380E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760" w:type="dxa"/>
        <w:tblLook w:val="04A0" w:firstRow="1" w:lastRow="0" w:firstColumn="1" w:lastColumn="0" w:noHBand="0" w:noVBand="1"/>
      </w:tblPr>
      <w:tblGrid>
        <w:gridCol w:w="5980"/>
        <w:gridCol w:w="2000"/>
        <w:gridCol w:w="1780"/>
      </w:tblGrid>
      <w:tr w:rsidR="00F80ED4" w:rsidRPr="00BE368F" w:rsidTr="00113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11380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SUBDIRECCION ADMINISTRATIVA</w:t>
            </w:r>
          </w:p>
        </w:tc>
      </w:tr>
      <w:tr w:rsidR="00F80ED4" w:rsidRPr="00BE368F" w:rsidTr="0044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11380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11380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BE368F" w:rsidRDefault="00F80ED4" w:rsidP="0011380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BE368F" w:rsidTr="00113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1380E" w:rsidRDefault="0093155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1380E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11380E" w:rsidRPr="0011380E">
              <w:rPr>
                <w:rFonts w:eastAsia="Times New Roman"/>
                <w:b w:val="0"/>
                <w:color w:val="000000"/>
                <w:lang w:eastAsia="es-CO"/>
              </w:rPr>
              <w:t xml:space="preserve"> General</w:t>
            </w:r>
          </w:p>
        </w:tc>
        <w:tc>
          <w:tcPr>
            <w:tcW w:w="200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E368F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80ED4" w:rsidRPr="00BE368F" w:rsidTr="0011380E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E368F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00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E368F">
              <w:rPr>
                <w:rFonts w:eastAsia="Times New Roman"/>
                <w:b/>
                <w:bCs/>
                <w:lang w:eastAsia="es-CO"/>
              </w:rPr>
              <w:t>3</w:t>
            </w:r>
          </w:p>
        </w:tc>
        <w:tc>
          <w:tcPr>
            <w:tcW w:w="1780" w:type="dxa"/>
            <w:hideMark/>
          </w:tcPr>
          <w:p w:rsidR="00F80ED4" w:rsidRPr="00BE368F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BE368F">
              <w:rPr>
                <w:rFonts w:eastAsia="Times New Roman"/>
                <w:b/>
                <w:bCs/>
                <w:lang w:eastAsia="es-CO"/>
              </w:rPr>
              <w:t>100</w:t>
            </w:r>
            <w:r w:rsidR="00A06239">
              <w:rPr>
                <w:rFonts w:eastAsia="Times New Roman"/>
                <w:b/>
                <w:bCs/>
                <w:lang w:eastAsia="es-CO"/>
              </w:rPr>
              <w:t>,00</w:t>
            </w:r>
            <w:r w:rsidRPr="00BE368F">
              <w:rPr>
                <w:rFonts w:eastAsia="Times New Roman"/>
                <w:b/>
                <w:bCs/>
                <w:lang w:eastAsia="es-CO"/>
              </w:rPr>
              <w:t>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Pr="00EB70CE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DF7DE5">
        <w:rPr>
          <w:rFonts w:ascii="Arial" w:hAnsi="Arial" w:cs="Arial"/>
        </w:rPr>
        <w:t>La Dirección General y la Dirección Jurídica, atendieron a igual número de ciudadanos (3 que equivalen al 0,</w:t>
      </w:r>
      <w:r w:rsidR="00C80D2C">
        <w:rPr>
          <w:rFonts w:ascii="Arial" w:hAnsi="Arial" w:cs="Arial"/>
        </w:rPr>
        <w:t>19</w:t>
      </w:r>
      <w:r w:rsidRPr="00DF7DE5">
        <w:rPr>
          <w:rFonts w:ascii="Arial" w:hAnsi="Arial" w:cs="Arial"/>
        </w:rPr>
        <w:t xml:space="preserve">% del total de la población).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6577A" w:rsidRDefault="00A6577A" w:rsidP="00F80E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80ED4" w:rsidRPr="003740CE" w:rsidRDefault="00F80ED4" w:rsidP="00F80ED4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b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3166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4,67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148,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64,19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95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discapacitados no certificados</w:t>
      </w:r>
      <w:r>
        <w:rPr>
          <w:rFonts w:ascii="Arial" w:hAnsi="Arial" w:cs="Arial"/>
        </w:rPr>
        <w:t xml:space="preserve">, entre otros. 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760" w:type="dxa"/>
        <w:tblLook w:val="04A0" w:firstRow="1" w:lastRow="0" w:firstColumn="1" w:lastColumn="0" w:noHBand="0" w:noVBand="1"/>
      </w:tblPr>
      <w:tblGrid>
        <w:gridCol w:w="5980"/>
        <w:gridCol w:w="2000"/>
        <w:gridCol w:w="1780"/>
      </w:tblGrid>
      <w:tr w:rsidR="00F80ED4" w:rsidRPr="00190071" w:rsidTr="006A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6A4D5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ATENCIÓN PRIORITARIA</w:t>
            </w:r>
          </w:p>
        </w:tc>
      </w:tr>
      <w:tr w:rsidR="00F80ED4" w:rsidRPr="00190071" w:rsidTr="006A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6A4D5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DEPENDENCIA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6A4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6A4D5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190071" w:rsidTr="006A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6A4D55" w:rsidRDefault="00383EBF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A4D55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6A4D55" w:rsidRPr="006A4D55">
              <w:rPr>
                <w:rFonts w:eastAsia="Times New Roman"/>
                <w:b w:val="0"/>
                <w:color w:val="000000"/>
                <w:lang w:eastAsia="es-CO"/>
              </w:rPr>
              <w:t xml:space="preserve"> de mejoramiento de vivienda</w:t>
            </w:r>
          </w:p>
        </w:tc>
        <w:tc>
          <w:tcPr>
            <w:tcW w:w="200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41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27,70%</w:t>
            </w:r>
          </w:p>
        </w:tc>
      </w:tr>
      <w:tr w:rsidR="00F80ED4" w:rsidRPr="00190071" w:rsidTr="006A4D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6A4D55" w:rsidRDefault="00383EBF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A4D55">
              <w:rPr>
                <w:rFonts w:eastAsia="Times New Roman"/>
                <w:b w:val="0"/>
                <w:color w:val="000000"/>
                <w:lang w:eastAsia="es-CO"/>
              </w:rPr>
              <w:lastRenderedPageBreak/>
              <w:t>Dirección</w:t>
            </w:r>
            <w:r w:rsidR="006A4D55" w:rsidRPr="006A4D55">
              <w:rPr>
                <w:rFonts w:eastAsia="Times New Roman"/>
                <w:b w:val="0"/>
                <w:color w:val="000000"/>
                <w:lang w:eastAsia="es-CO"/>
              </w:rPr>
              <w:t xml:space="preserve"> de reasentamientos</w:t>
            </w:r>
            <w:r w:rsidR="001B2AF8">
              <w:rPr>
                <w:rFonts w:eastAsia="Times New Roman"/>
                <w:b w:val="0"/>
                <w:color w:val="000000"/>
                <w:lang w:eastAsia="es-CO"/>
              </w:rPr>
              <w:t xml:space="preserve"> humanos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95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64,19%</w:t>
            </w:r>
          </w:p>
        </w:tc>
      </w:tr>
      <w:tr w:rsidR="00F80ED4" w:rsidRPr="00190071" w:rsidTr="006A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6A4D55" w:rsidRDefault="00383EBF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A4D55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6A4D55" w:rsidRPr="006A4D55">
              <w:rPr>
                <w:rFonts w:eastAsia="Times New Roman"/>
                <w:b w:val="0"/>
                <w:color w:val="000000"/>
                <w:lang w:eastAsia="es-CO"/>
              </w:rPr>
              <w:t xml:space="preserve"> de urbanizaciones y </w:t>
            </w:r>
            <w:r w:rsidRPr="006A4D55">
              <w:rPr>
                <w:rFonts w:eastAsia="Times New Roman"/>
                <w:b w:val="0"/>
                <w:color w:val="000000"/>
                <w:lang w:eastAsia="es-CO"/>
              </w:rPr>
              <w:t>titulación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7,43%</w:t>
            </w:r>
          </w:p>
        </w:tc>
      </w:tr>
      <w:tr w:rsidR="00F80ED4" w:rsidRPr="00190071" w:rsidTr="006A4D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6A4D55" w:rsidRDefault="00383EBF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A4D55">
              <w:rPr>
                <w:rFonts w:eastAsia="Times New Roman"/>
                <w:b w:val="0"/>
                <w:color w:val="000000"/>
                <w:lang w:eastAsia="es-CO"/>
              </w:rPr>
              <w:t>Subdirección</w:t>
            </w:r>
            <w:r w:rsidR="006A4D55" w:rsidRPr="006A4D55">
              <w:rPr>
                <w:rFonts w:eastAsia="Times New Roman"/>
                <w:b w:val="0"/>
                <w:color w:val="000000"/>
                <w:lang w:eastAsia="es-CO"/>
              </w:rPr>
              <w:t xml:space="preserve"> financiera - cartera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0,68%</w:t>
            </w:r>
          </w:p>
        </w:tc>
      </w:tr>
      <w:tr w:rsidR="00F80ED4" w:rsidRPr="00190071" w:rsidTr="006A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00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90071">
              <w:rPr>
                <w:rFonts w:eastAsia="Times New Roman"/>
                <w:b/>
                <w:bCs/>
                <w:lang w:eastAsia="es-CO"/>
              </w:rPr>
              <w:t>148</w:t>
            </w:r>
          </w:p>
        </w:tc>
        <w:tc>
          <w:tcPr>
            <w:tcW w:w="178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90071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F80ED4" w:rsidRDefault="00F80ED4" w:rsidP="00F80ED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80ED4" w:rsidRPr="001079BC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148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abril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81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54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73</w:t>
      </w:r>
      <w:r w:rsidRPr="001079BC">
        <w:rPr>
          <w:rFonts w:ascii="Arial" w:hAnsi="Arial" w:cs="Arial"/>
        </w:rPr>
        <w:t>%).</w:t>
      </w:r>
    </w:p>
    <w:p w:rsidR="00F80ED4" w:rsidRDefault="00F80ED4" w:rsidP="00F80ED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4-nfasis11"/>
        <w:tblW w:w="9760" w:type="dxa"/>
        <w:tblLook w:val="04A0" w:firstRow="1" w:lastRow="0" w:firstColumn="1" w:lastColumn="0" w:noHBand="0" w:noVBand="1"/>
      </w:tblPr>
      <w:tblGrid>
        <w:gridCol w:w="5980"/>
        <w:gridCol w:w="2000"/>
        <w:gridCol w:w="1780"/>
      </w:tblGrid>
      <w:tr w:rsidR="00F80ED4" w:rsidRPr="00190071" w:rsidTr="002E0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2E092B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F80ED4" w:rsidRPr="00190071" w:rsidTr="002E0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2E092B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20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2E09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F80ED4" w:rsidRPr="00190071" w:rsidRDefault="00F80ED4" w:rsidP="002E092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PORCENTAJE</w:t>
            </w:r>
          </w:p>
        </w:tc>
      </w:tr>
      <w:tr w:rsidR="00F80ED4" w:rsidRPr="00190071" w:rsidTr="002E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200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81</w:t>
            </w:r>
          </w:p>
        </w:tc>
        <w:tc>
          <w:tcPr>
            <w:tcW w:w="1780" w:type="dxa"/>
            <w:tcBorders>
              <w:top w:val="single" w:sz="4" w:space="0" w:color="FFFFFF" w:themeColor="background1"/>
            </w:tcBorders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54,73%</w:t>
            </w:r>
          </w:p>
        </w:tc>
      </w:tr>
      <w:tr w:rsidR="00F80ED4" w:rsidRPr="00190071" w:rsidTr="002E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30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20,27%</w:t>
            </w:r>
          </w:p>
        </w:tc>
      </w:tr>
      <w:tr w:rsidR="00F80ED4" w:rsidRPr="00190071" w:rsidTr="002E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21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14,19%</w:t>
            </w:r>
          </w:p>
        </w:tc>
      </w:tr>
      <w:tr w:rsidR="00F80ED4" w:rsidRPr="00190071" w:rsidTr="002E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6,08%</w:t>
            </w:r>
          </w:p>
        </w:tc>
      </w:tr>
      <w:tr w:rsidR="00F80ED4" w:rsidRPr="00190071" w:rsidTr="002E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3,38%</w:t>
            </w:r>
          </w:p>
        </w:tc>
      </w:tr>
      <w:tr w:rsidR="00F80ED4" w:rsidRPr="00190071" w:rsidTr="002E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noWrap/>
            <w:hideMark/>
          </w:tcPr>
          <w:p w:rsidR="00F80ED4" w:rsidRPr="000B6B8D" w:rsidRDefault="00F80ED4" w:rsidP="00E03C6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B6B8D">
              <w:rPr>
                <w:rFonts w:eastAsia="Times New Roman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200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190071">
              <w:rPr>
                <w:rFonts w:eastAsia="Times New Roman"/>
                <w:color w:val="000000"/>
                <w:lang w:eastAsia="es-CO"/>
              </w:rPr>
              <w:t>1,35%</w:t>
            </w:r>
          </w:p>
        </w:tc>
      </w:tr>
      <w:tr w:rsidR="00F80ED4" w:rsidRPr="00190071" w:rsidTr="002E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190071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00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90071">
              <w:rPr>
                <w:rFonts w:eastAsia="Times New Roman"/>
                <w:b/>
                <w:bCs/>
                <w:lang w:eastAsia="es-CO"/>
              </w:rPr>
              <w:t>148</w:t>
            </w:r>
          </w:p>
        </w:tc>
        <w:tc>
          <w:tcPr>
            <w:tcW w:w="1780" w:type="dxa"/>
            <w:hideMark/>
          </w:tcPr>
          <w:p w:rsidR="00F80ED4" w:rsidRPr="00190071" w:rsidRDefault="00F80ED4" w:rsidP="00E03C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190071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F80ED4" w:rsidRDefault="00F80ED4" w:rsidP="00F80ED4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F80ED4" w:rsidRDefault="00F80ED4" w:rsidP="00F80ED4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F80ED4" w:rsidRPr="005B2EA1" w:rsidRDefault="00F80ED4" w:rsidP="00F80ED4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:rsidR="00080A7B" w:rsidRDefault="00080A7B" w:rsidP="00F80ED4">
      <w:pPr>
        <w:spacing w:after="0" w:line="240" w:lineRule="auto"/>
        <w:jc w:val="both"/>
        <w:rPr>
          <w:rFonts w:ascii="Arial" w:hAnsi="Arial" w:cs="Arial"/>
        </w:rPr>
      </w:pPr>
    </w:p>
    <w:p w:rsidR="00080A7B" w:rsidRDefault="00080A7B" w:rsidP="00080A7B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177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>, 175</w:t>
      </w:r>
      <w:r w:rsidR="000A74D8">
        <w:rPr>
          <w:rFonts w:ascii="Arial" w:hAnsi="Arial" w:cs="Arial"/>
        </w:rPr>
        <w:t xml:space="preserve"> (</w:t>
      </w:r>
      <w:r w:rsidR="000A74D8" w:rsidRPr="000A74D8">
        <w:rPr>
          <w:rFonts w:ascii="Arial" w:hAnsi="Arial" w:cs="Arial"/>
        </w:rPr>
        <w:t>98,87</w:t>
      </w:r>
      <w:r w:rsidR="00436824">
        <w:rPr>
          <w:rFonts w:ascii="Arial" w:hAnsi="Arial" w:cs="Arial"/>
        </w:rPr>
        <w:t>%)</w:t>
      </w:r>
      <w:r w:rsidRPr="001079BC">
        <w:rPr>
          <w:rFonts w:ascii="Arial" w:hAnsi="Arial" w:cs="Arial"/>
        </w:rPr>
        <w:t xml:space="preserve">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dependencias. </w:t>
      </w:r>
      <w:r w:rsidRPr="001079BC">
        <w:rPr>
          <w:rFonts w:ascii="Arial" w:hAnsi="Arial" w:cs="Arial"/>
        </w:rPr>
        <w:t xml:space="preserve">De igual manera se puede observar que </w:t>
      </w:r>
      <w:r>
        <w:rPr>
          <w:rFonts w:ascii="Arial" w:hAnsi="Arial" w:cs="Arial"/>
        </w:rPr>
        <w:t>la dependencia</w:t>
      </w:r>
      <w:r w:rsidRPr="001079BC">
        <w:rPr>
          <w:rFonts w:ascii="Arial" w:hAnsi="Arial" w:cs="Arial"/>
        </w:rPr>
        <w:t xml:space="preserve"> con m</w:t>
      </w:r>
      <w:r>
        <w:rPr>
          <w:rFonts w:ascii="Arial" w:hAnsi="Arial" w:cs="Arial"/>
        </w:rPr>
        <w:t>ayor cantidad de</w:t>
      </w:r>
      <w:r w:rsidRPr="001079BC">
        <w:rPr>
          <w:rFonts w:ascii="Arial" w:hAnsi="Arial" w:cs="Arial"/>
        </w:rPr>
        <w:t xml:space="preserve">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Reasentamientos Humanos con </w:t>
      </w:r>
      <w:r>
        <w:rPr>
          <w:rFonts w:ascii="Arial" w:hAnsi="Arial" w:cs="Arial"/>
        </w:rPr>
        <w:t>81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45,76%.</w:t>
      </w:r>
    </w:p>
    <w:p w:rsidR="00080A7B" w:rsidRDefault="00080A7B" w:rsidP="00F80ED4">
      <w:pPr>
        <w:spacing w:after="0" w:line="240" w:lineRule="auto"/>
        <w:jc w:val="both"/>
        <w:rPr>
          <w:rFonts w:ascii="Arial" w:hAnsi="Arial" w:cs="Arial"/>
        </w:rPr>
      </w:pP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9EFEDB7" wp14:editId="447F465E">
            <wp:extent cx="5935980" cy="3124200"/>
            <wp:effectExtent l="0" t="0" r="762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w:t xml:space="preserve"> </w:t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B6986" wp14:editId="6DCC30AA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ED4" w:rsidRPr="00A21483" w:rsidRDefault="00F80ED4" w:rsidP="00F80ED4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B6986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F80ED4" w:rsidRPr="00A21483" w:rsidRDefault="00F80ED4" w:rsidP="00F80ED4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F80ED4" w:rsidRPr="00050FD7" w:rsidRDefault="00F80ED4" w:rsidP="00F80ED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 xml:space="preserve">Llamadas contestadas, no contestadas y ocupado - </w:t>
      </w:r>
      <w:r w:rsidR="003657E7">
        <w:rPr>
          <w:rFonts w:ascii="Arial" w:hAnsi="Arial" w:cs="Arial"/>
          <w:bCs/>
          <w:sz w:val="16"/>
          <w:szCs w:val="16"/>
          <w:lang w:val="es-ES"/>
        </w:rPr>
        <w:t>abril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2019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3657E7" w:rsidRDefault="003657E7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C3415" w:rsidRDefault="005C3415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80ED4" w:rsidRDefault="00F80ED4" w:rsidP="00F80ED4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D73D4AE" wp14:editId="6FB2F8D7">
            <wp:extent cx="5972175" cy="3095625"/>
            <wp:effectExtent l="0" t="0" r="952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Informe Conmutador del mes de </w:t>
      </w:r>
      <w:r w:rsidR="0044580B">
        <w:rPr>
          <w:rFonts w:ascii="Arial" w:hAnsi="Arial" w:cs="Arial"/>
          <w:sz w:val="16"/>
          <w:szCs w:val="16"/>
        </w:rPr>
        <w:t>abril</w:t>
      </w:r>
      <w:r>
        <w:rPr>
          <w:rFonts w:ascii="Arial" w:hAnsi="Arial" w:cs="Arial"/>
          <w:sz w:val="16"/>
          <w:szCs w:val="16"/>
        </w:rPr>
        <w:t xml:space="preserve"> 2019 discriminado por dependencia.</w:t>
      </w:r>
    </w:p>
    <w:p w:rsidR="00F80ED4" w:rsidRDefault="00F80ED4" w:rsidP="00F80E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F80ED4" w:rsidRPr="00635E63" w:rsidRDefault="00F80ED4" w:rsidP="00F80ED4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lastRenderedPageBreak/>
        <w:t>CONCLUSIONES</w:t>
      </w:r>
    </w:p>
    <w:p w:rsidR="00F80ED4" w:rsidRPr="001079BC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F80ED4" w:rsidRPr="006C11FE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abril</w:t>
      </w:r>
      <w:r w:rsidRPr="006C11FE">
        <w:rPr>
          <w:rFonts w:ascii="Arial" w:hAnsi="Arial" w:cs="Arial"/>
        </w:rPr>
        <w:t xml:space="preserve"> de 2019 a la entidad se acercaron 3.</w:t>
      </w:r>
      <w:r>
        <w:rPr>
          <w:rFonts w:ascii="Arial" w:hAnsi="Arial" w:cs="Arial"/>
        </w:rPr>
        <w:t>166</w:t>
      </w:r>
      <w:r w:rsidRPr="006C11FE">
        <w:rPr>
          <w:rFonts w:ascii="Arial" w:hAnsi="Arial" w:cs="Arial"/>
        </w:rPr>
        <w:t xml:space="preserve"> ciudadanos, de los cuales alrededor del </w:t>
      </w:r>
      <w:r w:rsidR="00C7092D" w:rsidRPr="00C7092D">
        <w:rPr>
          <w:rFonts w:ascii="Arial" w:hAnsi="Arial" w:cs="Arial"/>
        </w:rPr>
        <w:t>91,85</w:t>
      </w:r>
      <w:r w:rsidRPr="006C11FE">
        <w:rPr>
          <w:rFonts w:ascii="Arial" w:hAnsi="Arial" w:cs="Arial"/>
        </w:rPr>
        <w:t>% (</w:t>
      </w:r>
      <w:r w:rsidR="00C7092D" w:rsidRPr="00C7092D">
        <w:rPr>
          <w:rFonts w:ascii="Arial" w:hAnsi="Arial" w:cs="Arial"/>
        </w:rPr>
        <w:t>2.908</w:t>
      </w:r>
      <w:r w:rsidR="00C7092D" w:rsidRPr="00C7092D">
        <w:rPr>
          <w:rFonts w:ascii="Arial" w:hAnsi="Arial" w:cs="Arial"/>
        </w:rPr>
        <w:t>‬</w:t>
      </w:r>
      <w:r w:rsidRPr="006C11FE">
        <w:rPr>
          <w:rFonts w:ascii="Arial" w:hAnsi="Arial" w:cs="Arial"/>
        </w:rPr>
        <w:t xml:space="preserve">) de ciudadanos/usuarios lo hicieron con el objetivo de conocer el estado del proceso o para solicitar información general de los programas a los cuales se acercaron. </w:t>
      </w:r>
      <w:r>
        <w:rPr>
          <w:rFonts w:ascii="Arial" w:hAnsi="Arial" w:cs="Arial"/>
        </w:rPr>
        <w:t>Durante el periodo comprendido entre enero y abril</w:t>
      </w:r>
      <w:r w:rsidRPr="006C11FE">
        <w:rPr>
          <w:rFonts w:ascii="Arial" w:hAnsi="Arial" w:cs="Arial"/>
        </w:rPr>
        <w:t xml:space="preserve"> de 2019, se han acercado a la entidad 1</w:t>
      </w:r>
      <w:r>
        <w:rPr>
          <w:rFonts w:ascii="Arial" w:hAnsi="Arial" w:cs="Arial"/>
        </w:rPr>
        <w:t>3</w:t>
      </w:r>
      <w:r w:rsidRPr="006C11FE">
        <w:rPr>
          <w:rFonts w:ascii="Arial" w:hAnsi="Arial" w:cs="Arial"/>
        </w:rPr>
        <w:t>.</w:t>
      </w:r>
      <w:r>
        <w:rPr>
          <w:rFonts w:ascii="Arial" w:hAnsi="Arial" w:cs="Arial"/>
        </w:rPr>
        <w:t>191</w:t>
      </w:r>
      <w:r w:rsidRPr="006C11FE">
        <w:rPr>
          <w:rFonts w:ascii="Arial" w:hAnsi="Arial" w:cs="Arial"/>
        </w:rPr>
        <w:t xml:space="preserve"> (100%) ciudadanos/usuarios, de los cuales alrededor del </w:t>
      </w:r>
      <w:r w:rsidR="000078A8" w:rsidRPr="000078A8">
        <w:rPr>
          <w:rFonts w:ascii="Arial" w:hAnsi="Arial" w:cs="Arial"/>
        </w:rPr>
        <w:t>80,22</w:t>
      </w:r>
      <w:r w:rsidRPr="006C11FE">
        <w:rPr>
          <w:rFonts w:ascii="Arial" w:hAnsi="Arial" w:cs="Arial"/>
        </w:rPr>
        <w:t>% (</w:t>
      </w:r>
      <w:r w:rsidR="000078A8" w:rsidRPr="000078A8">
        <w:rPr>
          <w:rFonts w:ascii="Arial" w:hAnsi="Arial" w:cs="Arial"/>
        </w:rPr>
        <w:t>10.582</w:t>
      </w:r>
      <w:r w:rsidRPr="006C11FE">
        <w:rPr>
          <w:rFonts w:ascii="Arial" w:hAnsi="Arial" w:cs="Arial"/>
        </w:rPr>
        <w:t xml:space="preserve">) de las visitas fueron para </w:t>
      </w:r>
      <w:r>
        <w:rPr>
          <w:rFonts w:ascii="Arial" w:hAnsi="Arial" w:cs="Arial"/>
        </w:rPr>
        <w:t>los temas mencionados anteriormente</w:t>
      </w:r>
      <w:r w:rsidRPr="006C11FE">
        <w:rPr>
          <w:rFonts w:ascii="Arial" w:hAnsi="Arial" w:cs="Arial"/>
        </w:rPr>
        <w:t>.</w:t>
      </w:r>
    </w:p>
    <w:p w:rsidR="00F80ED4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80ED4" w:rsidRPr="006C11FE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:rsidR="00F80ED4" w:rsidRPr="006C11FE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80ED4" w:rsidRPr="006C11FE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 xml:space="preserve">Dar a conocer en detalle al usuario los diferentes canales de interacción, puntos de </w:t>
      </w:r>
      <w:r w:rsidR="00EA41A5">
        <w:rPr>
          <w:rFonts w:ascii="Arial" w:hAnsi="Arial" w:cs="Arial"/>
        </w:rPr>
        <w:t>a</w:t>
      </w:r>
      <w:r w:rsidRPr="006C11FE">
        <w:rPr>
          <w:rFonts w:ascii="Arial" w:hAnsi="Arial" w:cs="Arial"/>
        </w:rPr>
        <w:t>tención en terreno y en la CVP</w:t>
      </w:r>
      <w:r>
        <w:rPr>
          <w:rFonts w:ascii="Arial" w:hAnsi="Arial" w:cs="Arial"/>
        </w:rPr>
        <w:t>, e</w:t>
      </w:r>
      <w:r w:rsidRPr="006C11FE">
        <w:rPr>
          <w:rFonts w:ascii="Arial" w:hAnsi="Arial" w:cs="Arial"/>
        </w:rPr>
        <w:t>vitando que los Ciudadanos más vulnerables tengan que desplazarse lejos de su vivienda.</w:t>
      </w:r>
    </w:p>
    <w:p w:rsidR="00F80ED4" w:rsidRPr="006C11FE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80ED4" w:rsidRPr="007A28F9" w:rsidRDefault="00F80ED4" w:rsidP="00F80ED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6C11FE">
        <w:rPr>
          <w:rFonts w:ascii="Arial" w:hAnsi="Arial" w:cs="Arial"/>
        </w:rPr>
        <w:t xml:space="preserve">Facilitar el acceso a la información sobre los trámites y servicios que presta la entidad de manera virtual, permitirá empoderar a los ciudadanos; haciéndolos participes en la construcción de una </w:t>
      </w:r>
      <w:r w:rsidRPr="007A28F9">
        <w:rPr>
          <w:rFonts w:ascii="Arial" w:hAnsi="Arial" w:cs="Arial"/>
          <w:b/>
        </w:rPr>
        <w:t>¡BOGOTA MEJOR PARA TODOS!</w:t>
      </w: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F80ED4" w:rsidRPr="002E720E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:rsidR="00F80ED4" w:rsidRPr="002E720E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F80ED4" w:rsidRPr="00AF0CB1" w:rsidRDefault="00F80ED4" w:rsidP="00F80E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ED4" w:rsidRDefault="00F80ED4" w:rsidP="00F80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Ramirez Ramirez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394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F80ED4" w:rsidRDefault="00F80ED4" w:rsidP="00C21194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F80ED4" w:rsidRDefault="00F80ED4" w:rsidP="00F80ED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2A4276" w:rsidRPr="009559D5" w:rsidRDefault="00C21194" w:rsidP="009559D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Darryn Calder</w:t>
      </w:r>
      <w:r w:rsidR="00051BD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ó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n Trujillo – Contratista (002 de 2019)</w:t>
      </w:r>
    </w:p>
    <w:sectPr w:rsidR="002A4276" w:rsidRPr="009559D5" w:rsidSect="00643927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65" w:rsidRDefault="00946365" w:rsidP="000C58E8">
      <w:pPr>
        <w:spacing w:after="0" w:line="240" w:lineRule="auto"/>
      </w:pPr>
      <w:r>
        <w:separator/>
      </w:r>
    </w:p>
  </w:endnote>
  <w:endnote w:type="continuationSeparator" w:id="0">
    <w:p w:rsidR="00946365" w:rsidRDefault="0094636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Default="00D14D87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A16A0" w:rsidRPr="000A16A0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A16A0" w:rsidRPr="000A16A0">
      <w:rPr>
        <w:b/>
        <w:bCs/>
        <w:noProof/>
        <w:lang w:val="es-ES"/>
      </w:rPr>
      <w:t>9</w:t>
    </w:r>
    <w:r>
      <w:rPr>
        <w:b/>
        <w:bCs/>
      </w:rPr>
      <w:fldChar w:fldCharType="end"/>
    </w:r>
    <w:r w:rsidR="000D0F4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27" style="position:absolute;left:0;text-align:left;margin-left:-2.55pt;margin-top:2.95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 w:rsidR="000D0F4C"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2AA87000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65" w:rsidRDefault="00946365" w:rsidP="000C58E8">
      <w:pPr>
        <w:spacing w:after="0" w:line="240" w:lineRule="auto"/>
      </w:pPr>
      <w:r>
        <w:separator/>
      </w:r>
    </w:p>
  </w:footnote>
  <w:footnote w:type="continuationSeparator" w:id="0">
    <w:p w:rsidR="00946365" w:rsidRDefault="00946365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078A8"/>
    <w:rsid w:val="00013FF2"/>
    <w:rsid w:val="00014B0A"/>
    <w:rsid w:val="000228AC"/>
    <w:rsid w:val="000256D8"/>
    <w:rsid w:val="00031F3B"/>
    <w:rsid w:val="00035E4F"/>
    <w:rsid w:val="00041E43"/>
    <w:rsid w:val="00050E76"/>
    <w:rsid w:val="00051BDF"/>
    <w:rsid w:val="00051E81"/>
    <w:rsid w:val="00066096"/>
    <w:rsid w:val="00076C23"/>
    <w:rsid w:val="00080A7B"/>
    <w:rsid w:val="00082A2E"/>
    <w:rsid w:val="00090C46"/>
    <w:rsid w:val="000A16A0"/>
    <w:rsid w:val="000A74D8"/>
    <w:rsid w:val="000B2C3B"/>
    <w:rsid w:val="000B6B8D"/>
    <w:rsid w:val="000C3678"/>
    <w:rsid w:val="000C4A79"/>
    <w:rsid w:val="000C58E8"/>
    <w:rsid w:val="000D0403"/>
    <w:rsid w:val="000D0F4C"/>
    <w:rsid w:val="000D3A27"/>
    <w:rsid w:val="000D72BC"/>
    <w:rsid w:val="000E6F99"/>
    <w:rsid w:val="000F1B99"/>
    <w:rsid w:val="000F39D9"/>
    <w:rsid w:val="001011D2"/>
    <w:rsid w:val="0010310A"/>
    <w:rsid w:val="0010485C"/>
    <w:rsid w:val="0011380E"/>
    <w:rsid w:val="00114036"/>
    <w:rsid w:val="00121000"/>
    <w:rsid w:val="001216E1"/>
    <w:rsid w:val="00130AD5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2AF8"/>
    <w:rsid w:val="001B78D3"/>
    <w:rsid w:val="001C59BC"/>
    <w:rsid w:val="001D2790"/>
    <w:rsid w:val="001D5963"/>
    <w:rsid w:val="001E0FAD"/>
    <w:rsid w:val="001E11AE"/>
    <w:rsid w:val="001E3E1F"/>
    <w:rsid w:val="00201A67"/>
    <w:rsid w:val="0020294A"/>
    <w:rsid w:val="002034E3"/>
    <w:rsid w:val="002068B9"/>
    <w:rsid w:val="00210CB9"/>
    <w:rsid w:val="002203CF"/>
    <w:rsid w:val="00221395"/>
    <w:rsid w:val="00221BD1"/>
    <w:rsid w:val="00221EC5"/>
    <w:rsid w:val="002371E1"/>
    <w:rsid w:val="00241A63"/>
    <w:rsid w:val="00244767"/>
    <w:rsid w:val="002475BD"/>
    <w:rsid w:val="00261620"/>
    <w:rsid w:val="00270462"/>
    <w:rsid w:val="00271C6C"/>
    <w:rsid w:val="00275724"/>
    <w:rsid w:val="0027777A"/>
    <w:rsid w:val="00291141"/>
    <w:rsid w:val="002A4276"/>
    <w:rsid w:val="002A4E15"/>
    <w:rsid w:val="002A568E"/>
    <w:rsid w:val="002B058C"/>
    <w:rsid w:val="002B28C0"/>
    <w:rsid w:val="002C0579"/>
    <w:rsid w:val="002C1716"/>
    <w:rsid w:val="002C67B6"/>
    <w:rsid w:val="002D42D5"/>
    <w:rsid w:val="002E092B"/>
    <w:rsid w:val="002F59A8"/>
    <w:rsid w:val="00302E32"/>
    <w:rsid w:val="00303675"/>
    <w:rsid w:val="00316D58"/>
    <w:rsid w:val="003212E7"/>
    <w:rsid w:val="00326F09"/>
    <w:rsid w:val="0034127D"/>
    <w:rsid w:val="003415D1"/>
    <w:rsid w:val="00342842"/>
    <w:rsid w:val="00352B19"/>
    <w:rsid w:val="00362360"/>
    <w:rsid w:val="003657E7"/>
    <w:rsid w:val="00370B94"/>
    <w:rsid w:val="0037735E"/>
    <w:rsid w:val="00380632"/>
    <w:rsid w:val="00383EBF"/>
    <w:rsid w:val="003877AF"/>
    <w:rsid w:val="0039692B"/>
    <w:rsid w:val="003A0989"/>
    <w:rsid w:val="003A3FF5"/>
    <w:rsid w:val="003C4684"/>
    <w:rsid w:val="003C5CA8"/>
    <w:rsid w:val="003D08FF"/>
    <w:rsid w:val="003D1AA8"/>
    <w:rsid w:val="003D7E3F"/>
    <w:rsid w:val="003E4BB7"/>
    <w:rsid w:val="003E6E7A"/>
    <w:rsid w:val="003F6965"/>
    <w:rsid w:val="00416CD4"/>
    <w:rsid w:val="0042440B"/>
    <w:rsid w:val="004251D6"/>
    <w:rsid w:val="00427F6F"/>
    <w:rsid w:val="00436824"/>
    <w:rsid w:val="00442C45"/>
    <w:rsid w:val="0044454A"/>
    <w:rsid w:val="0044580B"/>
    <w:rsid w:val="00454A74"/>
    <w:rsid w:val="00465AA5"/>
    <w:rsid w:val="00473324"/>
    <w:rsid w:val="00473860"/>
    <w:rsid w:val="0047514A"/>
    <w:rsid w:val="00481A67"/>
    <w:rsid w:val="004833D6"/>
    <w:rsid w:val="004A1F2E"/>
    <w:rsid w:val="004A43D8"/>
    <w:rsid w:val="004A6C5B"/>
    <w:rsid w:val="004A779E"/>
    <w:rsid w:val="004D102E"/>
    <w:rsid w:val="004D1B2E"/>
    <w:rsid w:val="004D5A43"/>
    <w:rsid w:val="004D73FD"/>
    <w:rsid w:val="004E2C24"/>
    <w:rsid w:val="004E4D9D"/>
    <w:rsid w:val="004F5E67"/>
    <w:rsid w:val="0051673A"/>
    <w:rsid w:val="0052686B"/>
    <w:rsid w:val="005337DE"/>
    <w:rsid w:val="005445BE"/>
    <w:rsid w:val="005546AF"/>
    <w:rsid w:val="00554FB0"/>
    <w:rsid w:val="00562ED1"/>
    <w:rsid w:val="0058459B"/>
    <w:rsid w:val="005A2861"/>
    <w:rsid w:val="005A298E"/>
    <w:rsid w:val="005A328F"/>
    <w:rsid w:val="005B35F9"/>
    <w:rsid w:val="005B3B9D"/>
    <w:rsid w:val="005B6B5D"/>
    <w:rsid w:val="005C3415"/>
    <w:rsid w:val="005D6B51"/>
    <w:rsid w:val="005E3FD3"/>
    <w:rsid w:val="005F286C"/>
    <w:rsid w:val="00601360"/>
    <w:rsid w:val="00603917"/>
    <w:rsid w:val="00605F59"/>
    <w:rsid w:val="00615698"/>
    <w:rsid w:val="00620137"/>
    <w:rsid w:val="006227DB"/>
    <w:rsid w:val="0063656D"/>
    <w:rsid w:val="006430E4"/>
    <w:rsid w:val="00643927"/>
    <w:rsid w:val="006512C3"/>
    <w:rsid w:val="00655264"/>
    <w:rsid w:val="00660DEE"/>
    <w:rsid w:val="006639DA"/>
    <w:rsid w:val="00663FC5"/>
    <w:rsid w:val="0067136A"/>
    <w:rsid w:val="006726D3"/>
    <w:rsid w:val="006774B3"/>
    <w:rsid w:val="0068406C"/>
    <w:rsid w:val="006A4D55"/>
    <w:rsid w:val="006B104C"/>
    <w:rsid w:val="006B7351"/>
    <w:rsid w:val="006C09AA"/>
    <w:rsid w:val="006D2443"/>
    <w:rsid w:val="006D7AC5"/>
    <w:rsid w:val="006E54C6"/>
    <w:rsid w:val="006F0C20"/>
    <w:rsid w:val="006F12B9"/>
    <w:rsid w:val="006F5219"/>
    <w:rsid w:val="006F6E73"/>
    <w:rsid w:val="00701DED"/>
    <w:rsid w:val="00711BE8"/>
    <w:rsid w:val="00724128"/>
    <w:rsid w:val="00725086"/>
    <w:rsid w:val="00725BD5"/>
    <w:rsid w:val="007307BA"/>
    <w:rsid w:val="00735E4F"/>
    <w:rsid w:val="007375DE"/>
    <w:rsid w:val="0074176C"/>
    <w:rsid w:val="0075217F"/>
    <w:rsid w:val="00755865"/>
    <w:rsid w:val="00762049"/>
    <w:rsid w:val="00776343"/>
    <w:rsid w:val="00793709"/>
    <w:rsid w:val="007A28F9"/>
    <w:rsid w:val="007B5930"/>
    <w:rsid w:val="007D224B"/>
    <w:rsid w:val="007E046B"/>
    <w:rsid w:val="007F62AA"/>
    <w:rsid w:val="0081152E"/>
    <w:rsid w:val="00816612"/>
    <w:rsid w:val="00825DB4"/>
    <w:rsid w:val="00826747"/>
    <w:rsid w:val="00835D5E"/>
    <w:rsid w:val="00842B18"/>
    <w:rsid w:val="008450AA"/>
    <w:rsid w:val="00853F0F"/>
    <w:rsid w:val="00861690"/>
    <w:rsid w:val="00873BF2"/>
    <w:rsid w:val="00876258"/>
    <w:rsid w:val="00877678"/>
    <w:rsid w:val="0088300E"/>
    <w:rsid w:val="008978AA"/>
    <w:rsid w:val="00897924"/>
    <w:rsid w:val="008A7BC5"/>
    <w:rsid w:val="008B25AC"/>
    <w:rsid w:val="008B38A3"/>
    <w:rsid w:val="008B67E9"/>
    <w:rsid w:val="008B7F40"/>
    <w:rsid w:val="008C601C"/>
    <w:rsid w:val="008C714F"/>
    <w:rsid w:val="008C7779"/>
    <w:rsid w:val="008D1500"/>
    <w:rsid w:val="008D79DA"/>
    <w:rsid w:val="008F6B10"/>
    <w:rsid w:val="00904F1F"/>
    <w:rsid w:val="0091298D"/>
    <w:rsid w:val="00921972"/>
    <w:rsid w:val="00923331"/>
    <w:rsid w:val="00923EA5"/>
    <w:rsid w:val="00924C6F"/>
    <w:rsid w:val="00931554"/>
    <w:rsid w:val="00933218"/>
    <w:rsid w:val="00941E95"/>
    <w:rsid w:val="00943E12"/>
    <w:rsid w:val="00946365"/>
    <w:rsid w:val="009469F1"/>
    <w:rsid w:val="009506D1"/>
    <w:rsid w:val="00954285"/>
    <w:rsid w:val="009554B9"/>
    <w:rsid w:val="009559D5"/>
    <w:rsid w:val="00966F33"/>
    <w:rsid w:val="009732B4"/>
    <w:rsid w:val="00973301"/>
    <w:rsid w:val="009812C3"/>
    <w:rsid w:val="009859F8"/>
    <w:rsid w:val="00991070"/>
    <w:rsid w:val="00993F8A"/>
    <w:rsid w:val="00997817"/>
    <w:rsid w:val="009B0A26"/>
    <w:rsid w:val="009B7BE3"/>
    <w:rsid w:val="009C38D8"/>
    <w:rsid w:val="009D10D4"/>
    <w:rsid w:val="009D165F"/>
    <w:rsid w:val="009E079C"/>
    <w:rsid w:val="009E56FC"/>
    <w:rsid w:val="00A06239"/>
    <w:rsid w:val="00A12FBF"/>
    <w:rsid w:val="00A149DF"/>
    <w:rsid w:val="00A17932"/>
    <w:rsid w:val="00A17A5A"/>
    <w:rsid w:val="00A2521B"/>
    <w:rsid w:val="00A26CBD"/>
    <w:rsid w:val="00A26CDE"/>
    <w:rsid w:val="00A30483"/>
    <w:rsid w:val="00A424B0"/>
    <w:rsid w:val="00A55294"/>
    <w:rsid w:val="00A640A4"/>
    <w:rsid w:val="00A6577A"/>
    <w:rsid w:val="00A67209"/>
    <w:rsid w:val="00A727C6"/>
    <w:rsid w:val="00A77C2C"/>
    <w:rsid w:val="00A77DC7"/>
    <w:rsid w:val="00A80DA2"/>
    <w:rsid w:val="00A813D8"/>
    <w:rsid w:val="00A93E72"/>
    <w:rsid w:val="00A95B08"/>
    <w:rsid w:val="00AC408E"/>
    <w:rsid w:val="00AE0C90"/>
    <w:rsid w:val="00AE7B5D"/>
    <w:rsid w:val="00AF5061"/>
    <w:rsid w:val="00B12643"/>
    <w:rsid w:val="00B17EF6"/>
    <w:rsid w:val="00B35CB4"/>
    <w:rsid w:val="00B436DC"/>
    <w:rsid w:val="00B5405D"/>
    <w:rsid w:val="00B577BF"/>
    <w:rsid w:val="00B66BB2"/>
    <w:rsid w:val="00B67E71"/>
    <w:rsid w:val="00B9424D"/>
    <w:rsid w:val="00B94404"/>
    <w:rsid w:val="00BA2636"/>
    <w:rsid w:val="00BA5B7E"/>
    <w:rsid w:val="00BB27A3"/>
    <w:rsid w:val="00BC0B2C"/>
    <w:rsid w:val="00BC34E2"/>
    <w:rsid w:val="00BD0322"/>
    <w:rsid w:val="00BD2C28"/>
    <w:rsid w:val="00BF4A1E"/>
    <w:rsid w:val="00C058F6"/>
    <w:rsid w:val="00C12E80"/>
    <w:rsid w:val="00C17676"/>
    <w:rsid w:val="00C21194"/>
    <w:rsid w:val="00C2599E"/>
    <w:rsid w:val="00C364CA"/>
    <w:rsid w:val="00C4488A"/>
    <w:rsid w:val="00C45BDB"/>
    <w:rsid w:val="00C46DA1"/>
    <w:rsid w:val="00C474E5"/>
    <w:rsid w:val="00C63F7A"/>
    <w:rsid w:val="00C7092D"/>
    <w:rsid w:val="00C773AC"/>
    <w:rsid w:val="00C80D2C"/>
    <w:rsid w:val="00C84720"/>
    <w:rsid w:val="00C85404"/>
    <w:rsid w:val="00C94716"/>
    <w:rsid w:val="00C960A8"/>
    <w:rsid w:val="00CA39AC"/>
    <w:rsid w:val="00CB1C45"/>
    <w:rsid w:val="00CD5E1B"/>
    <w:rsid w:val="00CE01AC"/>
    <w:rsid w:val="00CF4DEB"/>
    <w:rsid w:val="00D02FD3"/>
    <w:rsid w:val="00D12551"/>
    <w:rsid w:val="00D14D87"/>
    <w:rsid w:val="00D47418"/>
    <w:rsid w:val="00D54968"/>
    <w:rsid w:val="00D54BAF"/>
    <w:rsid w:val="00D64B87"/>
    <w:rsid w:val="00D80EF7"/>
    <w:rsid w:val="00D86B63"/>
    <w:rsid w:val="00DA0BDA"/>
    <w:rsid w:val="00DB1F7E"/>
    <w:rsid w:val="00DB3B3A"/>
    <w:rsid w:val="00DC51CF"/>
    <w:rsid w:val="00DD71FA"/>
    <w:rsid w:val="00DE109B"/>
    <w:rsid w:val="00DF040F"/>
    <w:rsid w:val="00E05113"/>
    <w:rsid w:val="00E1178F"/>
    <w:rsid w:val="00E16814"/>
    <w:rsid w:val="00E17DAD"/>
    <w:rsid w:val="00E2550E"/>
    <w:rsid w:val="00E40F21"/>
    <w:rsid w:val="00E457AA"/>
    <w:rsid w:val="00E46B29"/>
    <w:rsid w:val="00E72ADD"/>
    <w:rsid w:val="00E7344F"/>
    <w:rsid w:val="00E75DB5"/>
    <w:rsid w:val="00E859CB"/>
    <w:rsid w:val="00E949F7"/>
    <w:rsid w:val="00E95180"/>
    <w:rsid w:val="00E97B6F"/>
    <w:rsid w:val="00EA1C4F"/>
    <w:rsid w:val="00EA41A5"/>
    <w:rsid w:val="00EB037C"/>
    <w:rsid w:val="00EC3AE3"/>
    <w:rsid w:val="00EC76CB"/>
    <w:rsid w:val="00ED127F"/>
    <w:rsid w:val="00EE2FBB"/>
    <w:rsid w:val="00EE3BD7"/>
    <w:rsid w:val="00EF05D3"/>
    <w:rsid w:val="00EF29CB"/>
    <w:rsid w:val="00EF37D1"/>
    <w:rsid w:val="00EF763B"/>
    <w:rsid w:val="00EF76FE"/>
    <w:rsid w:val="00F11332"/>
    <w:rsid w:val="00F15EA9"/>
    <w:rsid w:val="00F16E95"/>
    <w:rsid w:val="00F218AC"/>
    <w:rsid w:val="00F3117A"/>
    <w:rsid w:val="00F31457"/>
    <w:rsid w:val="00F34411"/>
    <w:rsid w:val="00F42FE6"/>
    <w:rsid w:val="00F45222"/>
    <w:rsid w:val="00F563A8"/>
    <w:rsid w:val="00F60B3F"/>
    <w:rsid w:val="00F6655A"/>
    <w:rsid w:val="00F66CEC"/>
    <w:rsid w:val="00F70B90"/>
    <w:rsid w:val="00F70E87"/>
    <w:rsid w:val="00F752D5"/>
    <w:rsid w:val="00F80ED4"/>
    <w:rsid w:val="00F9085C"/>
    <w:rsid w:val="00FA427B"/>
    <w:rsid w:val="00FB12E6"/>
    <w:rsid w:val="00FB3B15"/>
    <w:rsid w:val="00FB6FC2"/>
    <w:rsid w:val="00FC0210"/>
    <w:rsid w:val="00FC5D5E"/>
    <w:rsid w:val="00FC6A5D"/>
    <w:rsid w:val="00FD610E"/>
    <w:rsid w:val="00FE39C1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br%202019\reporte%20sima%20Abril%202019%20-%20Editado%20Sin%20NINGUN%20TIPO%20DE%20Registros%20Inconsistent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br%202019\reporte%20sima%20Abril%202019%20-%20Editado%20Sin%20NINGUN%20TIPO%20DE%20Registros%20Inconsistent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br%202019\reporte%20sima%20Abril%202019%20-%20Editado%20Sin%20NINGUN%20TIPO%20DE%20Registros%20Inconsistent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Abr%202019\reporte%20sima%20Abril%202019%20-%20Editado%20Sin%20NINGUN%20TIPO%20DE%20Registros%20Inconsiste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2498652115438164"/>
          <c:y val="4.1025641025641026E-2"/>
        </c:manualLayout>
      </c:layout>
      <c:overlay val="0"/>
      <c:txPr>
        <a:bodyPr/>
        <a:lstStyle/>
        <a:p>
          <a:pPr>
            <a:defRPr sz="1200"/>
          </a:pPr>
          <a:endParaRPr lang="es-CO"/>
        </a:p>
      </c:txPr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13839071470468"/>
          <c:y val="4.0526751463759336E-2"/>
          <c:w val="0.55102681609243287"/>
          <c:h val="0.874495320601628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Tablas'!$B$90</c:f>
              <c:strCache>
                <c:ptCount val="1"/>
                <c:pt idx="0">
                  <c:v>CANTIDAD DE CIUDADANOS ATENDIDOS POR DEPENDENCIAS - ABRIL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FE7-435E-B5A4-7C6F24E4576E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FE7-435E-B5A4-7C6F24E4576E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FE7-435E-B5A4-7C6F24E4576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FE7-435E-B5A4-7C6F24E4576E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FE7-435E-B5A4-7C6F24E4576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FE7-435E-B5A4-7C6F24E4576E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E7-435E-B5A4-7C6F24E4576E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E7-435E-B5A4-7C6F24E4576E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E7-435E-B5A4-7C6F24E4576E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FE7-435E-B5A4-7C6F24E457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Tablas'!$A$91:$A$100</c:f>
              <c:strCache>
                <c:ptCount val="10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DIRECCION DE MEJORAMIENTO DE BARRIOS</c:v>
                </c:pt>
                <c:pt idx="6">
                  <c:v>SUBDIRECCION ADMINISTRATIVA</c:v>
                </c:pt>
                <c:pt idx="7">
                  <c:v>DIRECCION DE GESTION CORPORATIVA Y CID</c:v>
                </c:pt>
                <c:pt idx="8">
                  <c:v>DIRECCION JURIDICA</c:v>
                </c:pt>
                <c:pt idx="9">
                  <c:v>TOTAL</c:v>
                </c:pt>
              </c:strCache>
            </c:strRef>
          </c:cat>
          <c:val>
            <c:numRef>
              <c:f>'Gráficas &amp; Tablas'!$B$91:$B$100</c:f>
              <c:numCache>
                <c:formatCode>General</c:formatCode>
                <c:ptCount val="10"/>
                <c:pt idx="0">
                  <c:v>887</c:v>
                </c:pt>
                <c:pt idx="1">
                  <c:v>1415</c:v>
                </c:pt>
                <c:pt idx="2">
                  <c:v>798</c:v>
                </c:pt>
                <c:pt idx="3">
                  <c:v>1</c:v>
                </c:pt>
                <c:pt idx="4">
                  <c:v>46</c:v>
                </c:pt>
                <c:pt idx="5">
                  <c:v>10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FE7-435E-B5A4-7C6F24E45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70904064"/>
        <c:axId val="48442176"/>
        <c:axId val="0"/>
      </c:bar3DChart>
      <c:catAx>
        <c:axId val="170904064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48442176"/>
        <c:crosses val="autoZero"/>
        <c:auto val="1"/>
        <c:lblAlgn val="ctr"/>
        <c:lblOffset val="100"/>
        <c:noMultiLvlLbl val="0"/>
      </c:catAx>
      <c:valAx>
        <c:axId val="4844217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70904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ABRIL 2019</a:t>
            </a:r>
          </a:p>
        </c:rich>
      </c:tx>
      <c:overlay val="0"/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Tablas'!$B$90</c:f>
              <c:strCache>
                <c:ptCount val="1"/>
                <c:pt idx="0">
                  <c:v>CANTIDAD DE CIUDADANOS ATENDIDOS POR DEPENDENCIAS - ABRIL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2C-47AA-B5F3-DE3A948B1826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2C-47AA-B5F3-DE3A948B1826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2C-47AA-B5F3-DE3A948B1826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62C-47AA-B5F3-DE3A948B1826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62C-47AA-B5F3-DE3A948B1826}"/>
              </c:ext>
            </c:extLst>
          </c:dPt>
          <c:dLbls>
            <c:dLbl>
              <c:idx val="0"/>
              <c:layout>
                <c:manualLayout>
                  <c:x val="4.4191921828039556E-2"/>
                  <c:y val="-0.2151133874295063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2C-47AA-B5F3-DE3A948B1826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2C-47AA-B5F3-DE3A948B1826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62C-47AA-B5F3-DE3A948B1826}"/>
                </c:ext>
              </c:extLst>
            </c:dLbl>
            <c:dLbl>
              <c:idx val="3"/>
              <c:layout>
                <c:manualLayout>
                  <c:x val="0.2252625021872266"/>
                  <c:y val="0.129565545520867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2C-47AA-B5F3-DE3A948B1826}"/>
                </c:ext>
              </c:extLst>
            </c:dLbl>
            <c:dLbl>
              <c:idx val="4"/>
              <c:layout>
                <c:manualLayout>
                  <c:x val="0.10119148518998793"/>
                  <c:y val="0.208110022832511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2C-47AA-B5F3-DE3A948B1826}"/>
                </c:ext>
              </c:extLst>
            </c:dLbl>
            <c:dLbl>
              <c:idx val="5"/>
              <c:layout>
                <c:manualLayout>
                  <c:x val="1.7330813648293961E-2"/>
                  <c:y val="0.138529009752375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2C-47AA-B5F3-DE3A948B1826}"/>
                </c:ext>
              </c:extLst>
            </c:dLbl>
            <c:dLbl>
              <c:idx val="6"/>
              <c:layout>
                <c:manualLayout>
                  <c:x val="-2.6510586176727906E-2"/>
                  <c:y val="6.02809153648126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62C-47AA-B5F3-DE3A948B1826}"/>
                </c:ext>
              </c:extLst>
            </c:dLbl>
            <c:dLbl>
              <c:idx val="7"/>
              <c:layout>
                <c:manualLayout>
                  <c:x val="6.2112335958005253E-3"/>
                  <c:y val="-1.08253880405524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62C-47AA-B5F3-DE3A948B1826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62C-47AA-B5F3-DE3A948B1826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Tablas'!$A$91:$A$99</c:f>
              <c:strCache>
                <c:ptCount val="9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DIRECCION DE MEJORAMIENTO DE BARRIOS</c:v>
                </c:pt>
                <c:pt idx="6">
                  <c:v>SUBDIRECCION ADMINISTRATIVA</c:v>
                </c:pt>
                <c:pt idx="7">
                  <c:v>DIRECCION DE GESTION CORPORATIVA Y CID</c:v>
                </c:pt>
                <c:pt idx="8">
                  <c:v>DIRECCION JURIDICA</c:v>
                </c:pt>
              </c:strCache>
            </c:strRef>
          </c:cat>
          <c:val>
            <c:numRef>
              <c:f>'Gráficas &amp; Tablas'!$B$91:$B$99</c:f>
              <c:numCache>
                <c:formatCode>General</c:formatCode>
                <c:ptCount val="9"/>
                <c:pt idx="0">
                  <c:v>887</c:v>
                </c:pt>
                <c:pt idx="1">
                  <c:v>1415</c:v>
                </c:pt>
                <c:pt idx="2">
                  <c:v>798</c:v>
                </c:pt>
                <c:pt idx="3">
                  <c:v>1</c:v>
                </c:pt>
                <c:pt idx="4">
                  <c:v>46</c:v>
                </c:pt>
                <c:pt idx="5">
                  <c:v>10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62C-47AA-B5F3-DE3A948B1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Tablas'!$B$84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AA-4869-A24D-81C9DAF29B65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AA-4869-A24D-81C9DAF29B65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AA-4869-A24D-81C9DAF29B6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98,87%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A-4869-A24D-81C9DAF29B65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1,13%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AA-4869-A24D-81C9DAF29B6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AA-4869-A24D-81C9DAF29B6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AA-4869-A24D-81C9DAF29B6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Tablas'!$A$85:$A$87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TOTAL</c:v>
                </c:pt>
              </c:strCache>
            </c:strRef>
          </c:cat>
          <c:val>
            <c:numRef>
              <c:f>'Gráficas &amp; Tablas'!$B$85:$B$87</c:f>
              <c:numCache>
                <c:formatCode>General</c:formatCode>
                <c:ptCount val="3"/>
                <c:pt idx="0">
                  <c:v>175</c:v>
                </c:pt>
                <c:pt idx="1">
                  <c:v>2</c:v>
                </c:pt>
                <c:pt idx="2">
                  <c:v>177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6AA-4869-A24D-81C9DAF29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70904576"/>
        <c:axId val="48445056"/>
        <c:axId val="0"/>
      </c:bar3DChart>
      <c:catAx>
        <c:axId val="17090457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8445056"/>
        <c:crosses val="autoZero"/>
        <c:auto val="1"/>
        <c:lblAlgn val="ctr"/>
        <c:lblOffset val="100"/>
        <c:noMultiLvlLbl val="0"/>
      </c:catAx>
      <c:valAx>
        <c:axId val="484450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70904576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ABRIL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3332762946227647"/>
          <c:y val="0.12357723577235773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2372418218520647"/>
          <c:y val="0.25299865565584789"/>
          <c:w val="0.68669902373314451"/>
          <c:h val="0.65027040451112439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F6-48E7-9624-3C1B4871FEC8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F6-48E7-9624-3C1B4871FEC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F6-48E7-9624-3C1B4871FEC8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F6-48E7-9624-3C1B4871FEC8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F6-48E7-9624-3C1B4871FEC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EF6-48E7-9624-3C1B4871FEC8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F6-48E7-9624-3C1B4871FEC8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F6-48E7-9624-3C1B4871FEC8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F6-48E7-9624-3C1B4871FEC8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F6-48E7-9624-3C1B4871F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Tablas'!$A$72:$A$78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  <c:pt idx="6">
                  <c:v>DIRECCION DE GESTION CORPORATIVA Y CID</c:v>
                </c:pt>
              </c:strCache>
            </c:strRef>
          </c:cat>
          <c:val>
            <c:numRef>
              <c:f>'Gráficas &amp; Tablas'!$B$72:$B$78</c:f>
              <c:numCache>
                <c:formatCode>General</c:formatCode>
                <c:ptCount val="7"/>
                <c:pt idx="0">
                  <c:v>52</c:v>
                </c:pt>
                <c:pt idx="1">
                  <c:v>81</c:v>
                </c:pt>
                <c:pt idx="2">
                  <c:v>37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EF6-48E7-9624-3C1B4871F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70974720"/>
        <c:axId val="110905024"/>
        <c:axId val="0"/>
      </c:bar3DChart>
      <c:catAx>
        <c:axId val="170974720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900" b="0"/>
            </a:pPr>
            <a:endParaRPr lang="es-CO"/>
          </a:p>
        </c:txPr>
        <c:crossAx val="110905024"/>
        <c:crosses val="autoZero"/>
        <c:auto val="1"/>
        <c:lblAlgn val="ctr"/>
        <c:lblOffset val="100"/>
        <c:noMultiLvlLbl val="0"/>
      </c:catAx>
      <c:valAx>
        <c:axId val="1109050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709747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2017-09-18T15:26:00Z</cp:lastPrinted>
  <dcterms:created xsi:type="dcterms:W3CDTF">2019-05-15T19:59:00Z</dcterms:created>
  <dcterms:modified xsi:type="dcterms:W3CDTF">2019-05-15T19:59:00Z</dcterms:modified>
</cp:coreProperties>
</file>