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Pr="00F2020A" w:rsidRDefault="005B35F9" w:rsidP="005B35F9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:rsidR="005B35F9" w:rsidRPr="00F2020A" w:rsidRDefault="005B35F9" w:rsidP="005B35F9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:rsidR="005B35F9" w:rsidRPr="00F2020A" w:rsidRDefault="005B35F9" w:rsidP="005B35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:rsidR="005B35F9" w:rsidRPr="00F2020A" w:rsidRDefault="005B35F9" w:rsidP="005B35F9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FEBRERO</w:t>
      </w:r>
      <w:r w:rsidRPr="00F2020A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</w:p>
    <w:p w:rsidR="005B35F9" w:rsidRDefault="005B35F9" w:rsidP="005B35F9">
      <w:pPr>
        <w:spacing w:after="0" w:line="240" w:lineRule="auto"/>
        <w:jc w:val="center"/>
        <w:rPr>
          <w:rFonts w:ascii="Arial" w:hAnsi="Arial" w:cs="Arial"/>
          <w:b/>
        </w:rPr>
      </w:pPr>
    </w:p>
    <w:p w:rsidR="005B35F9" w:rsidRPr="00EC26D5" w:rsidRDefault="005B35F9" w:rsidP="005B35F9">
      <w:pPr>
        <w:spacing w:after="0" w:line="240" w:lineRule="auto"/>
        <w:jc w:val="center"/>
        <w:rPr>
          <w:rFonts w:ascii="Arial" w:hAnsi="Arial" w:cs="Arial"/>
          <w:b/>
        </w:rPr>
      </w:pPr>
    </w:p>
    <w:p w:rsidR="005B35F9" w:rsidRDefault="005B35F9" w:rsidP="005B35F9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(</w:t>
      </w:r>
      <w:r>
        <w:rPr>
          <w:rFonts w:ascii="Arial" w:hAnsi="Arial" w:cs="Arial"/>
          <w:color w:val="808080"/>
          <w:lang w:val="es-ES"/>
        </w:rPr>
        <w:t>12 de marzo del 2019</w:t>
      </w:r>
      <w:r w:rsidRPr="00EC26D5">
        <w:rPr>
          <w:rFonts w:ascii="Arial" w:hAnsi="Arial" w:cs="Arial"/>
          <w:color w:val="808080"/>
          <w:lang w:val="es-ES"/>
        </w:rPr>
        <w:t>)</w:t>
      </w:r>
    </w:p>
    <w:p w:rsidR="005B35F9" w:rsidRDefault="005B35F9" w:rsidP="005B35F9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5B35F9" w:rsidRDefault="005B35F9" w:rsidP="005B35F9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bookmarkStart w:id="0" w:name="_GoBack"/>
      <w:bookmarkEnd w:id="0"/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bookmarkStart w:id="1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>
        <w:rPr>
          <w:rFonts w:ascii="Arial" w:hAnsi="Arial" w:cs="Arial"/>
        </w:rPr>
        <w:t xml:space="preserve">febrero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1"/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35F9" w:rsidRPr="001439DD" w:rsidRDefault="005B35F9" w:rsidP="005B35F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periodo comprendido entre el 1 y el 28 de febrero, se prestó la orientación y el direccionamiento a 3167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158 ciudadanos. 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B35F9" w:rsidRDefault="005B35F9" w:rsidP="005B35F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054B50D6" wp14:editId="3568D66B">
            <wp:extent cx="5955030" cy="4654550"/>
            <wp:effectExtent l="0" t="0" r="7620" b="1270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Pr="001079BC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>La asistencia durante el mes de febrero a la Caja de la Vivienda Popular se distribuyó así: 47,93% para la Dirección de Reasentamientos Humanos, 25,89% para la Dirección de Mejoramiento de Vivienda y un 24,06% para la Dirección de Urbanización y Titulaciones; siendo estas las áreas o dependencias de mayor demanda de atención con 3.100 asistentes a la entidad.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  <w:r>
        <w:rPr>
          <w:rFonts w:ascii="Arial" w:hAnsi="Arial" w:cs="Arial"/>
          <w:noProof/>
          <w:lang w:eastAsia="es-CO"/>
        </w:rPr>
        <w:tab/>
      </w:r>
    </w:p>
    <w:p w:rsidR="005B35F9" w:rsidRDefault="005B35F9" w:rsidP="005B35F9">
      <w:pPr>
        <w:spacing w:after="0" w:line="240" w:lineRule="auto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1F694F3" wp14:editId="3BBCEC18">
            <wp:extent cx="6069330" cy="4659630"/>
            <wp:effectExtent l="0" t="0" r="7620" b="762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35F9" w:rsidRPr="00050FD7" w:rsidRDefault="005B35F9" w:rsidP="005B35F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B35F9" w:rsidRPr="004A6881" w:rsidRDefault="005B35F9" w:rsidP="005B35F9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B35F9" w:rsidRPr="004A6881" w:rsidRDefault="005B35F9" w:rsidP="005B35F9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área obtuvo una asistencia de </w:t>
      </w:r>
      <w:r>
        <w:rPr>
          <w:rFonts w:ascii="Arial" w:hAnsi="Arial" w:cs="Arial"/>
        </w:rPr>
        <w:t>1.518</w:t>
      </w:r>
      <w:r w:rsidRPr="001079BC">
        <w:rPr>
          <w:rFonts w:ascii="Arial" w:hAnsi="Arial" w:cs="Arial"/>
        </w:rPr>
        <w:t xml:space="preserve"> ciudadanos, lo que representa el </w:t>
      </w:r>
      <w:r>
        <w:rPr>
          <w:rFonts w:ascii="Arial" w:hAnsi="Arial" w:cs="Arial"/>
        </w:rPr>
        <w:t>47,93%</w:t>
      </w:r>
      <w:r w:rsidRPr="001079BC">
        <w:rPr>
          <w:rFonts w:ascii="Arial" w:hAnsi="Arial" w:cs="Arial"/>
        </w:rPr>
        <w:t xml:space="preserve"> del total de asistentes a la entidad en </w:t>
      </w:r>
      <w:r>
        <w:rPr>
          <w:rFonts w:ascii="Arial" w:hAnsi="Arial" w:cs="Arial"/>
        </w:rPr>
        <w:t>febrero de 2019</w:t>
      </w:r>
      <w:r w:rsidRPr="001079BC">
        <w:rPr>
          <w:rFonts w:ascii="Arial" w:hAnsi="Arial" w:cs="Arial"/>
        </w:rPr>
        <w:t xml:space="preserve">. De los anteriores asistentes a esta dependencia, el </w:t>
      </w:r>
      <w:r>
        <w:rPr>
          <w:rFonts w:ascii="Arial" w:hAnsi="Arial" w:cs="Arial"/>
        </w:rPr>
        <w:t>94,86% (1.440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indagar por el e</w:t>
      </w:r>
      <w:r w:rsidRPr="001079BC">
        <w:rPr>
          <w:rFonts w:ascii="Arial" w:hAnsi="Arial" w:cs="Arial"/>
        </w:rPr>
        <w:t>stado de</w:t>
      </w:r>
      <w:r>
        <w:rPr>
          <w:rFonts w:ascii="Arial" w:hAnsi="Arial" w:cs="Arial"/>
        </w:rPr>
        <w:t xml:space="preserve"> su p</w:t>
      </w:r>
      <w:r w:rsidRPr="001079BC">
        <w:rPr>
          <w:rFonts w:ascii="Arial" w:hAnsi="Arial" w:cs="Arial"/>
        </w:rPr>
        <w:t>roceso</w:t>
      </w:r>
      <w:r>
        <w:rPr>
          <w:rFonts w:ascii="Arial" w:hAnsi="Arial" w:cs="Arial"/>
        </w:rPr>
        <w:t>.</w:t>
      </w:r>
    </w:p>
    <w:p w:rsidR="00D54BAF" w:rsidRDefault="00D54BAF" w:rsidP="005B35F9">
      <w:pPr>
        <w:spacing w:after="0" w:line="240" w:lineRule="auto"/>
        <w:jc w:val="both"/>
        <w:rPr>
          <w:rFonts w:ascii="Arial" w:hAnsi="Arial" w:cs="Arial"/>
        </w:rPr>
      </w:pPr>
    </w:p>
    <w:p w:rsidR="00D54BAF" w:rsidRDefault="00D54BAF" w:rsidP="005B3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540" w:type="dxa"/>
        <w:tblLook w:val="04A0" w:firstRow="1" w:lastRow="0" w:firstColumn="1" w:lastColumn="0" w:noHBand="0" w:noVBand="1"/>
      </w:tblPr>
      <w:tblGrid>
        <w:gridCol w:w="4390"/>
        <w:gridCol w:w="2976"/>
        <w:gridCol w:w="2174"/>
      </w:tblGrid>
      <w:tr w:rsidR="005B35F9" w:rsidRPr="006609AD" w:rsidTr="00B43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6609AD">
              <w:rPr>
                <w:rFonts w:eastAsia="Times New Roman"/>
                <w:lang w:eastAsia="es-CO"/>
              </w:rPr>
              <w:lastRenderedPageBreak/>
              <w:t>DIRECCIÓN DE REASENTAMIENTOS HUMANOS</w:t>
            </w:r>
          </w:p>
        </w:tc>
      </w:tr>
      <w:tr w:rsidR="005B35F9" w:rsidRPr="006609AD" w:rsidTr="003D1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6609AD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97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6609AD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17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6609AD">
              <w:rPr>
                <w:rFonts w:eastAsia="Times New Roman"/>
                <w:lang w:eastAsia="es-CO"/>
              </w:rPr>
              <w:t>PORCENTAJE</w:t>
            </w:r>
          </w:p>
        </w:tc>
      </w:tr>
      <w:tr w:rsidR="005B35F9" w:rsidRPr="006609AD" w:rsidTr="003D1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5B35F9" w:rsidRPr="008C601C" w:rsidRDefault="008C601C" w:rsidP="00D54BA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C601C">
              <w:rPr>
                <w:rFonts w:eastAsia="Times New Roman"/>
                <w:b w:val="0"/>
                <w:color w:val="000000"/>
                <w:lang w:eastAsia="es-CO"/>
              </w:rPr>
              <w:t>Estado del proceso</w:t>
            </w:r>
          </w:p>
        </w:tc>
        <w:tc>
          <w:tcPr>
            <w:tcW w:w="2976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1440</w:t>
            </w:r>
          </w:p>
        </w:tc>
        <w:tc>
          <w:tcPr>
            <w:tcW w:w="2174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94,86%</w:t>
            </w:r>
          </w:p>
        </w:tc>
      </w:tr>
      <w:tr w:rsidR="005B35F9" w:rsidRPr="006609AD" w:rsidTr="003D1A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5B35F9" w:rsidRPr="008C601C" w:rsidRDefault="008C601C" w:rsidP="00D54BA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C601C">
              <w:rPr>
                <w:rFonts w:eastAsia="Times New Roman"/>
                <w:b w:val="0"/>
                <w:color w:val="000000"/>
                <w:lang w:eastAsia="es-CO"/>
              </w:rPr>
              <w:t>Ingreso al programa</w:t>
            </w:r>
          </w:p>
        </w:tc>
        <w:tc>
          <w:tcPr>
            <w:tcW w:w="2976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33</w:t>
            </w:r>
          </w:p>
        </w:tc>
        <w:tc>
          <w:tcPr>
            <w:tcW w:w="2174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2,17%</w:t>
            </w:r>
          </w:p>
        </w:tc>
      </w:tr>
      <w:tr w:rsidR="005B35F9" w:rsidRPr="006609AD" w:rsidTr="003D1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5B35F9" w:rsidRPr="008C601C" w:rsidRDefault="008C601C" w:rsidP="00D54BA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C601C">
              <w:rPr>
                <w:rFonts w:eastAsia="Times New Roman"/>
                <w:b w:val="0"/>
                <w:color w:val="000000"/>
                <w:lang w:eastAsia="es-CO"/>
              </w:rPr>
              <w:t>Radicación contrato de arriendo</w:t>
            </w:r>
          </w:p>
        </w:tc>
        <w:tc>
          <w:tcPr>
            <w:tcW w:w="2976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13</w:t>
            </w:r>
          </w:p>
        </w:tc>
        <w:tc>
          <w:tcPr>
            <w:tcW w:w="2174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0,86%</w:t>
            </w:r>
          </w:p>
        </w:tc>
      </w:tr>
      <w:tr w:rsidR="005B35F9" w:rsidRPr="006609AD" w:rsidTr="003D1A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5B35F9" w:rsidRPr="008C601C" w:rsidRDefault="008C601C" w:rsidP="00D54BA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C601C">
              <w:rPr>
                <w:rFonts w:eastAsia="Times New Roman"/>
                <w:b w:val="0"/>
                <w:color w:val="000000"/>
                <w:lang w:eastAsia="es-CO"/>
              </w:rPr>
              <w:t>Otros</w:t>
            </w:r>
          </w:p>
        </w:tc>
        <w:tc>
          <w:tcPr>
            <w:tcW w:w="2976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2174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0,59%</w:t>
            </w:r>
          </w:p>
        </w:tc>
      </w:tr>
      <w:tr w:rsidR="005B35F9" w:rsidRPr="006609AD" w:rsidTr="003D1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5B35F9" w:rsidRPr="008C601C" w:rsidRDefault="008C601C" w:rsidP="00D54BA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C601C">
              <w:rPr>
                <w:rFonts w:eastAsia="Times New Roman"/>
                <w:b w:val="0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2976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2174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0,59%</w:t>
            </w:r>
          </w:p>
        </w:tc>
      </w:tr>
      <w:tr w:rsidR="005B35F9" w:rsidRPr="006609AD" w:rsidTr="003D1A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5B35F9" w:rsidRPr="008C601C" w:rsidRDefault="008C601C" w:rsidP="00D54BA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C601C">
              <w:rPr>
                <w:rFonts w:eastAsia="Times New Roman"/>
                <w:b w:val="0"/>
                <w:color w:val="000000"/>
                <w:lang w:eastAsia="es-CO"/>
              </w:rPr>
              <w:t>Entrega vivienda</w:t>
            </w:r>
          </w:p>
        </w:tc>
        <w:tc>
          <w:tcPr>
            <w:tcW w:w="2976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2174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0,53%</w:t>
            </w:r>
          </w:p>
        </w:tc>
      </w:tr>
      <w:tr w:rsidR="005B35F9" w:rsidRPr="006609AD" w:rsidTr="003D1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5B35F9" w:rsidRPr="008C601C" w:rsidRDefault="008C601C" w:rsidP="00D54BA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C601C">
              <w:rPr>
                <w:rFonts w:eastAsia="Times New Roman"/>
                <w:b w:val="0"/>
                <w:color w:val="000000"/>
                <w:lang w:eastAsia="es-CO"/>
              </w:rPr>
              <w:t>Desembolso de mejoras</w:t>
            </w:r>
          </w:p>
        </w:tc>
        <w:tc>
          <w:tcPr>
            <w:tcW w:w="2976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2174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0,20%</w:t>
            </w:r>
          </w:p>
        </w:tc>
      </w:tr>
      <w:tr w:rsidR="005B35F9" w:rsidRPr="006609AD" w:rsidTr="003D1A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5B35F9" w:rsidRPr="008C601C" w:rsidRDefault="008C601C" w:rsidP="00D54BA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C601C">
              <w:rPr>
                <w:rFonts w:eastAsia="Times New Roman"/>
                <w:b w:val="0"/>
                <w:color w:val="000000"/>
                <w:lang w:eastAsia="es-CO"/>
              </w:rPr>
              <w:t>Certificado de vinculación</w:t>
            </w:r>
          </w:p>
        </w:tc>
        <w:tc>
          <w:tcPr>
            <w:tcW w:w="2976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2174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0,13%</w:t>
            </w:r>
          </w:p>
        </w:tc>
      </w:tr>
      <w:tr w:rsidR="005B35F9" w:rsidRPr="006609AD" w:rsidTr="003D1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5B35F9" w:rsidRPr="008C601C" w:rsidRDefault="008C601C" w:rsidP="00D54BA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C601C">
              <w:rPr>
                <w:rFonts w:eastAsia="Times New Roman"/>
                <w:b w:val="0"/>
                <w:color w:val="000000"/>
                <w:lang w:eastAsia="es-CO"/>
              </w:rPr>
              <w:t>Selección de vivienda</w:t>
            </w:r>
          </w:p>
        </w:tc>
        <w:tc>
          <w:tcPr>
            <w:tcW w:w="2976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2174" w:type="dxa"/>
            <w:noWrap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609AD">
              <w:rPr>
                <w:rFonts w:eastAsia="Times New Roman"/>
                <w:color w:val="000000"/>
                <w:lang w:eastAsia="es-CO"/>
              </w:rPr>
              <w:t>0,07%</w:t>
            </w:r>
          </w:p>
        </w:tc>
      </w:tr>
      <w:tr w:rsidR="005B35F9" w:rsidRPr="006609AD" w:rsidTr="004A1F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  <w:hideMark/>
          </w:tcPr>
          <w:p w:rsidR="005B35F9" w:rsidRPr="006609AD" w:rsidRDefault="008C601C" w:rsidP="004A1F2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6609AD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976" w:type="dxa"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6609AD">
              <w:rPr>
                <w:rFonts w:eastAsia="Times New Roman"/>
                <w:b/>
                <w:bCs/>
                <w:lang w:eastAsia="es-CO"/>
              </w:rPr>
              <w:t>1518</w:t>
            </w:r>
          </w:p>
        </w:tc>
        <w:tc>
          <w:tcPr>
            <w:tcW w:w="2174" w:type="dxa"/>
            <w:vAlign w:val="center"/>
            <w:hideMark/>
          </w:tcPr>
          <w:p w:rsidR="005B35F9" w:rsidRPr="006609AD" w:rsidRDefault="005B35F9" w:rsidP="00D54B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6609AD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5B35F9" w:rsidRPr="00050FD7" w:rsidRDefault="005B35F9" w:rsidP="005B35F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B35F9" w:rsidRDefault="005B35F9" w:rsidP="005B35F9">
      <w:pPr>
        <w:spacing w:after="0" w:line="240" w:lineRule="auto"/>
        <w:rPr>
          <w:rFonts w:ascii="Arial" w:hAnsi="Arial" w:cs="Arial"/>
          <w:b/>
          <w:u w:val="single"/>
        </w:rPr>
      </w:pPr>
    </w:p>
    <w:p w:rsidR="00997817" w:rsidRDefault="00997817" w:rsidP="005B35F9">
      <w:pPr>
        <w:spacing w:after="0" w:line="240" w:lineRule="auto"/>
        <w:rPr>
          <w:rFonts w:ascii="Arial" w:hAnsi="Arial" w:cs="Arial"/>
          <w:b/>
          <w:u w:val="single"/>
        </w:rPr>
      </w:pPr>
    </w:p>
    <w:p w:rsidR="005B35F9" w:rsidRPr="001026C4" w:rsidRDefault="005B35F9" w:rsidP="005B35F9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>
        <w:rPr>
          <w:rFonts w:ascii="Arial" w:hAnsi="Arial" w:cs="Arial"/>
        </w:rPr>
        <w:t>762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24,06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>, de los cuales 726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95,28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p w:rsidR="0020294A" w:rsidRDefault="0020294A" w:rsidP="005B3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3" w:type="dxa"/>
        <w:tblLook w:val="04A0" w:firstRow="1" w:lastRow="0" w:firstColumn="1" w:lastColumn="0" w:noHBand="0" w:noVBand="1"/>
      </w:tblPr>
      <w:tblGrid>
        <w:gridCol w:w="6091"/>
        <w:gridCol w:w="1559"/>
        <w:gridCol w:w="1843"/>
      </w:tblGrid>
      <w:tr w:rsidR="005B35F9" w:rsidRPr="0053700D" w:rsidTr="00E16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53700D" w:rsidRDefault="005B35F9" w:rsidP="00E16814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3700D">
              <w:rPr>
                <w:rFonts w:eastAsia="Times New Roman"/>
                <w:lang w:eastAsia="es-CO"/>
              </w:rPr>
              <w:t>DIRECCIÓN DE URBANIZACIONES Y TITULACIÓN</w:t>
            </w:r>
          </w:p>
        </w:tc>
      </w:tr>
      <w:tr w:rsidR="005B35F9" w:rsidRPr="0053700D" w:rsidTr="00E16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53700D" w:rsidRDefault="005B35F9" w:rsidP="00E16814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3700D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53700D" w:rsidRDefault="005B35F9" w:rsidP="00E168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53700D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53700D" w:rsidRDefault="005B35F9" w:rsidP="00E168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53700D">
              <w:rPr>
                <w:rFonts w:eastAsia="Times New Roman"/>
                <w:lang w:eastAsia="es-CO"/>
              </w:rPr>
              <w:t>PORCENTAJE</w:t>
            </w:r>
          </w:p>
        </w:tc>
      </w:tr>
      <w:tr w:rsidR="005B35F9" w:rsidRPr="0053700D" w:rsidTr="00E16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E16814" w:rsidRDefault="00E16814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16814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53700D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3700D">
              <w:rPr>
                <w:rFonts w:eastAsia="Times New Roman"/>
                <w:color w:val="000000"/>
                <w:lang w:eastAsia="es-CO"/>
              </w:rPr>
              <w:t>726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53700D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3700D">
              <w:rPr>
                <w:rFonts w:eastAsia="Times New Roman"/>
                <w:color w:val="000000"/>
                <w:lang w:eastAsia="es-CO"/>
              </w:rPr>
              <w:t>95,28%</w:t>
            </w:r>
          </w:p>
        </w:tc>
      </w:tr>
      <w:tr w:rsidR="005B35F9" w:rsidRPr="0053700D" w:rsidTr="00E168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:rsidR="005B35F9" w:rsidRPr="00E16814" w:rsidRDefault="00E16814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16814">
              <w:rPr>
                <w:rFonts w:eastAsia="Times New Roman"/>
                <w:b w:val="0"/>
                <w:color w:val="000000"/>
                <w:lang w:eastAsia="es-CO"/>
              </w:rPr>
              <w:t>Solicitar la escrituración por primera vez</w:t>
            </w:r>
          </w:p>
        </w:tc>
        <w:tc>
          <w:tcPr>
            <w:tcW w:w="1559" w:type="dxa"/>
            <w:noWrap/>
            <w:hideMark/>
          </w:tcPr>
          <w:p w:rsidR="005B35F9" w:rsidRPr="0053700D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3700D">
              <w:rPr>
                <w:rFonts w:eastAsia="Times New Roman"/>
                <w:color w:val="000000"/>
                <w:lang w:eastAsia="es-CO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5B35F9" w:rsidRPr="0053700D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3700D">
              <w:rPr>
                <w:rFonts w:eastAsia="Times New Roman"/>
                <w:color w:val="000000"/>
                <w:lang w:eastAsia="es-CO"/>
              </w:rPr>
              <w:t>3,28%</w:t>
            </w:r>
          </w:p>
        </w:tc>
      </w:tr>
      <w:tr w:rsidR="005B35F9" w:rsidRPr="0053700D" w:rsidTr="00E16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:rsidR="005B35F9" w:rsidRPr="00E16814" w:rsidRDefault="00E16814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16814">
              <w:rPr>
                <w:rFonts w:eastAsia="Times New Roman"/>
                <w:b w:val="0"/>
                <w:color w:val="000000"/>
                <w:lang w:eastAsia="es-CO"/>
              </w:rPr>
              <w:t>Radicación de cancelación de hipoteca y condiciones resolutorias</w:t>
            </w:r>
          </w:p>
        </w:tc>
        <w:tc>
          <w:tcPr>
            <w:tcW w:w="1559" w:type="dxa"/>
            <w:noWrap/>
            <w:hideMark/>
          </w:tcPr>
          <w:p w:rsidR="005B35F9" w:rsidRPr="0053700D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3700D"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5B35F9" w:rsidRPr="0053700D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3700D">
              <w:rPr>
                <w:rFonts w:eastAsia="Times New Roman"/>
                <w:color w:val="000000"/>
                <w:lang w:eastAsia="es-CO"/>
              </w:rPr>
              <w:t>1,44%</w:t>
            </w:r>
          </w:p>
        </w:tc>
      </w:tr>
      <w:tr w:rsidR="005B35F9" w:rsidRPr="0053700D" w:rsidTr="00E168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5B35F9" w:rsidRPr="0053700D" w:rsidRDefault="004A1F2E" w:rsidP="00A62FBC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3700D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559" w:type="dxa"/>
            <w:hideMark/>
          </w:tcPr>
          <w:p w:rsidR="005B35F9" w:rsidRPr="0053700D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53700D">
              <w:rPr>
                <w:rFonts w:eastAsia="Times New Roman"/>
                <w:b/>
                <w:bCs/>
                <w:lang w:eastAsia="es-CO"/>
              </w:rPr>
              <w:t>762</w:t>
            </w:r>
          </w:p>
        </w:tc>
        <w:tc>
          <w:tcPr>
            <w:tcW w:w="1843" w:type="dxa"/>
            <w:hideMark/>
          </w:tcPr>
          <w:p w:rsidR="005B35F9" w:rsidRPr="0053700D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53700D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5B35F9" w:rsidRPr="00050FD7" w:rsidRDefault="005B35F9" w:rsidP="005B35F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B35F9" w:rsidRDefault="005B35F9" w:rsidP="005B35F9">
      <w:pPr>
        <w:spacing w:after="0" w:line="240" w:lineRule="auto"/>
        <w:rPr>
          <w:rFonts w:ascii="Arial" w:hAnsi="Arial" w:cs="Arial"/>
          <w:b/>
          <w:u w:val="single"/>
        </w:rPr>
      </w:pPr>
    </w:p>
    <w:p w:rsidR="00997817" w:rsidRDefault="00997817" w:rsidP="005B35F9">
      <w:pPr>
        <w:spacing w:after="0" w:line="240" w:lineRule="auto"/>
        <w:rPr>
          <w:rFonts w:ascii="Arial" w:hAnsi="Arial" w:cs="Arial"/>
          <w:b/>
          <w:u w:val="single"/>
        </w:rPr>
      </w:pPr>
    </w:p>
    <w:p w:rsidR="005B35F9" w:rsidRPr="00A250B4" w:rsidRDefault="005B35F9" w:rsidP="005B35F9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>
        <w:rPr>
          <w:rFonts w:ascii="Arial" w:hAnsi="Arial" w:cs="Arial"/>
        </w:rPr>
        <w:t>820</w:t>
      </w:r>
      <w:r w:rsidRPr="001079BC">
        <w:rPr>
          <w:rFonts w:ascii="Arial" w:hAnsi="Arial" w:cs="Arial"/>
        </w:rPr>
        <w:t xml:space="preserve"> ciudadanos, que representan el </w:t>
      </w:r>
      <w:r>
        <w:rPr>
          <w:rFonts w:ascii="Arial" w:hAnsi="Arial" w:cs="Arial"/>
        </w:rPr>
        <w:t>25,89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>e se acercaron a la CVP durante febrero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t>Información general de mejoramiento de vivienda</w:t>
      </w:r>
      <w:r w:rsidRPr="001079BC">
        <w:rPr>
          <w:rFonts w:ascii="Arial" w:hAnsi="Arial" w:cs="Arial"/>
        </w:rPr>
        <w:t>; lo anterior represent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92,68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760</w:t>
      </w:r>
      <w:r w:rsidRPr="001079BC">
        <w:rPr>
          <w:rFonts w:ascii="Arial" w:hAnsi="Arial" w:cs="Arial"/>
        </w:rPr>
        <w:t>) de los ciudadanos que se acercaron a esta dependencia.</w:t>
      </w:r>
      <w:r>
        <w:rPr>
          <w:rFonts w:ascii="Arial" w:hAnsi="Arial" w:cs="Arial"/>
        </w:rPr>
        <w:t xml:space="preserve"> Un 7,32% </w:t>
      </w:r>
      <w:r w:rsidR="004833D6">
        <w:rPr>
          <w:rFonts w:ascii="Arial" w:hAnsi="Arial" w:cs="Arial"/>
        </w:rPr>
        <w:t xml:space="preserve">(60) </w:t>
      </w:r>
      <w:r>
        <w:rPr>
          <w:rFonts w:ascii="Arial" w:hAnsi="Arial" w:cs="Arial"/>
        </w:rPr>
        <w:t xml:space="preserve">de los usuarios, se acercaron </w:t>
      </w:r>
      <w:r>
        <w:rPr>
          <w:rFonts w:ascii="Arial" w:hAnsi="Arial" w:cs="Arial"/>
        </w:rPr>
        <w:lastRenderedPageBreak/>
        <w:t>a la Entidad con el fin de solicitar asistencia técnica para la obtención de licencias de construcción o actos de reconocimiento.</w:t>
      </w:r>
    </w:p>
    <w:p w:rsidR="00997817" w:rsidRDefault="00997817" w:rsidP="005B3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5B35F9" w:rsidRPr="00156228" w:rsidTr="00130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156228" w:rsidRDefault="005B35F9" w:rsidP="00130AD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156228">
              <w:rPr>
                <w:rFonts w:eastAsia="Times New Roman"/>
                <w:lang w:eastAsia="es-CO"/>
              </w:rPr>
              <w:t>DIRECCIÓN DE MEJORAMIENTO DE VIVIENDA</w:t>
            </w:r>
          </w:p>
        </w:tc>
      </w:tr>
      <w:tr w:rsidR="005B35F9" w:rsidRPr="00156228" w:rsidTr="00B66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156228" w:rsidRDefault="005B35F9" w:rsidP="00130AD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156228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156228" w:rsidRDefault="005B35F9" w:rsidP="00130AD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156228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156228" w:rsidRDefault="005B35F9" w:rsidP="00130AD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156228">
              <w:rPr>
                <w:rFonts w:eastAsia="Times New Roman"/>
                <w:lang w:eastAsia="es-CO"/>
              </w:rPr>
              <w:t>PORCENTAJE</w:t>
            </w:r>
          </w:p>
        </w:tc>
      </w:tr>
      <w:tr w:rsidR="005B35F9" w:rsidRPr="00156228" w:rsidTr="00B6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130AD5" w:rsidRDefault="00130AD5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30AD5">
              <w:rPr>
                <w:rFonts w:eastAsia="Times New Roman"/>
                <w:b w:val="0"/>
                <w:color w:val="000000"/>
                <w:lang w:eastAsia="es-CO"/>
              </w:rPr>
              <w:t>Información general de mejoramiento de vivienda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156228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56228">
              <w:rPr>
                <w:rFonts w:eastAsia="Times New Roman"/>
                <w:color w:val="000000"/>
                <w:lang w:eastAsia="es-CO"/>
              </w:rPr>
              <w:t>760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156228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56228">
              <w:rPr>
                <w:rFonts w:eastAsia="Times New Roman"/>
                <w:color w:val="000000"/>
                <w:lang w:eastAsia="es-CO"/>
              </w:rPr>
              <w:t>92,68%</w:t>
            </w:r>
          </w:p>
        </w:tc>
      </w:tr>
      <w:tr w:rsidR="005B35F9" w:rsidRPr="00156228" w:rsidTr="00B66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B35F9" w:rsidRPr="00130AD5" w:rsidRDefault="00130AD5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30AD5">
              <w:rPr>
                <w:rFonts w:eastAsia="Times New Roman"/>
                <w:b w:val="0"/>
                <w:color w:val="000000"/>
                <w:lang w:eastAsia="es-CO"/>
              </w:rPr>
              <w:t>Asistencia técnica</w:t>
            </w:r>
          </w:p>
        </w:tc>
        <w:tc>
          <w:tcPr>
            <w:tcW w:w="1780" w:type="dxa"/>
            <w:noWrap/>
            <w:hideMark/>
          </w:tcPr>
          <w:p w:rsidR="005B35F9" w:rsidRPr="00156228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56228">
              <w:rPr>
                <w:rFonts w:eastAsia="Times New Roman"/>
                <w:color w:val="000000"/>
                <w:lang w:eastAsia="es-CO"/>
              </w:rPr>
              <w:t>60</w:t>
            </w:r>
          </w:p>
        </w:tc>
        <w:tc>
          <w:tcPr>
            <w:tcW w:w="1780" w:type="dxa"/>
            <w:noWrap/>
            <w:hideMark/>
          </w:tcPr>
          <w:p w:rsidR="005B35F9" w:rsidRPr="00156228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56228">
              <w:rPr>
                <w:rFonts w:eastAsia="Times New Roman"/>
                <w:color w:val="000000"/>
                <w:lang w:eastAsia="es-CO"/>
              </w:rPr>
              <w:t>7,32%</w:t>
            </w:r>
          </w:p>
        </w:tc>
      </w:tr>
      <w:tr w:rsidR="005B35F9" w:rsidRPr="00156228" w:rsidTr="00B6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5B35F9" w:rsidRPr="00156228" w:rsidRDefault="00130AD5" w:rsidP="00A62FBC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156228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5B35F9" w:rsidRPr="00156228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156228">
              <w:rPr>
                <w:rFonts w:eastAsia="Times New Roman"/>
                <w:b/>
                <w:bCs/>
                <w:lang w:eastAsia="es-CO"/>
              </w:rPr>
              <w:t>820</w:t>
            </w:r>
          </w:p>
        </w:tc>
        <w:tc>
          <w:tcPr>
            <w:tcW w:w="1780" w:type="dxa"/>
            <w:hideMark/>
          </w:tcPr>
          <w:p w:rsidR="005B35F9" w:rsidRPr="00156228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156228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5B35F9" w:rsidRPr="00050FD7" w:rsidRDefault="005B35F9" w:rsidP="005B35F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B35F9" w:rsidRDefault="005B35F9" w:rsidP="005B35F9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997817" w:rsidRDefault="00997817" w:rsidP="005B35F9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5B35F9" w:rsidRPr="000B04ED" w:rsidRDefault="005B35F9" w:rsidP="005B35F9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B35F9" w:rsidRDefault="005B35F9" w:rsidP="005B35F9">
      <w:pPr>
        <w:pStyle w:val="Prrafodelista"/>
        <w:spacing w:after="12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mes de febrero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 xml:space="preserve">eron 7 </w:t>
      </w:r>
      <w:r w:rsidR="005B3B9D">
        <w:rPr>
          <w:rFonts w:ascii="Arial" w:hAnsi="Arial" w:cs="Arial"/>
        </w:rPr>
        <w:t>(</w:t>
      </w:r>
      <w:r w:rsidR="005B3B9D" w:rsidRPr="005B3B9D">
        <w:rPr>
          <w:rFonts w:ascii="Arial" w:hAnsi="Arial" w:cs="Arial"/>
        </w:rPr>
        <w:t>0,22</w:t>
      </w:r>
      <w:r w:rsidR="005B3B9D">
        <w:rPr>
          <w:rFonts w:ascii="Arial" w:hAnsi="Arial" w:cs="Arial"/>
        </w:rPr>
        <w:t>%)</w:t>
      </w:r>
      <w:r w:rsidR="00121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Dichos ciudadanos se remitieron a la Dirección de Mejoramiento de Barrios para ampliación de información. </w:t>
      </w:r>
    </w:p>
    <w:p w:rsidR="005B35F9" w:rsidRDefault="005B35F9" w:rsidP="005B35F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997817" w:rsidRDefault="00997817" w:rsidP="005B35F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5B35F9" w:rsidRPr="00E56F1D" w:rsidRDefault="005B35F9" w:rsidP="005B35F9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>
        <w:rPr>
          <w:rFonts w:ascii="Arial" w:hAnsi="Arial" w:cs="Arial"/>
        </w:rPr>
        <w:t>60</w:t>
      </w:r>
      <w:r w:rsidRPr="001079BC">
        <w:rPr>
          <w:rFonts w:ascii="Arial" w:hAnsi="Arial" w:cs="Arial"/>
        </w:rPr>
        <w:t xml:space="preserve"> ciudadanos que equivale el </w:t>
      </w:r>
      <w:r>
        <w:rPr>
          <w:rFonts w:ascii="Arial" w:hAnsi="Arial" w:cs="Arial"/>
        </w:rPr>
        <w:t>1,89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febrero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>
        <w:rPr>
          <w:rFonts w:ascii="Arial" w:hAnsi="Arial" w:cs="Arial"/>
        </w:rPr>
        <w:t>, 24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(40,00%), acudieron a recibir </w:t>
      </w:r>
      <w:r w:rsidRPr="001079BC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>general sobre el proceso o estado de cartera, y 12</w:t>
      </w:r>
      <w:r w:rsidR="00562ED1">
        <w:rPr>
          <w:rFonts w:ascii="Arial" w:hAnsi="Arial" w:cs="Arial"/>
        </w:rPr>
        <w:t xml:space="preserve"> (20,00%)</w:t>
      </w:r>
      <w:r>
        <w:rPr>
          <w:rFonts w:ascii="Arial" w:hAnsi="Arial" w:cs="Arial"/>
        </w:rPr>
        <w:t>, se acercaron para solicitar la impresión y entrega de talonarios con recibos de pago de la obligación.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5B35F9" w:rsidRPr="00B64296" w:rsidTr="00B1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64296" w:rsidRDefault="005B35F9" w:rsidP="00B12643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64296">
              <w:rPr>
                <w:rFonts w:eastAsia="Times New Roman"/>
                <w:lang w:eastAsia="es-CO"/>
              </w:rPr>
              <w:t>SUBDIRECCIÓN FINANCIERA (Cartera)</w:t>
            </w:r>
          </w:p>
        </w:tc>
      </w:tr>
      <w:tr w:rsidR="00B12643" w:rsidRPr="00B64296" w:rsidTr="00B1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64296" w:rsidRDefault="005B35F9" w:rsidP="00B12643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64296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64296" w:rsidRDefault="005B35F9" w:rsidP="00B126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64296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64296" w:rsidRDefault="005B35F9" w:rsidP="00B126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64296">
              <w:rPr>
                <w:rFonts w:eastAsia="Times New Roman"/>
                <w:lang w:eastAsia="es-CO"/>
              </w:rPr>
              <w:t>PORCENTAJE</w:t>
            </w:r>
          </w:p>
        </w:tc>
      </w:tr>
      <w:tr w:rsidR="005B35F9" w:rsidRPr="00B64296" w:rsidTr="00B12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B12643" w:rsidRDefault="00B12643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12643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24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40,00%</w:t>
            </w:r>
          </w:p>
        </w:tc>
      </w:tr>
      <w:tr w:rsidR="00B12643" w:rsidRPr="00B64296" w:rsidTr="00B126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B35F9" w:rsidRPr="00B12643" w:rsidRDefault="00B12643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12643">
              <w:rPr>
                <w:rFonts w:eastAsia="Times New Roman"/>
                <w:b w:val="0"/>
                <w:color w:val="000000"/>
                <w:lang w:eastAsia="es-CO"/>
              </w:rPr>
              <w:t>Impresión</w:t>
            </w:r>
            <w:r>
              <w:rPr>
                <w:rFonts w:eastAsia="Times New Roman"/>
                <w:b w:val="0"/>
                <w:color w:val="000000"/>
                <w:lang w:eastAsia="es-CO"/>
              </w:rPr>
              <w:t xml:space="preserve"> de</w:t>
            </w:r>
            <w:r w:rsidRPr="00B12643">
              <w:rPr>
                <w:rFonts w:eastAsia="Times New Roman"/>
                <w:b w:val="0"/>
                <w:color w:val="000000"/>
                <w:lang w:eastAsia="es-CO"/>
              </w:rPr>
              <w:t xml:space="preserve"> talonario</w:t>
            </w:r>
          </w:p>
        </w:tc>
        <w:tc>
          <w:tcPr>
            <w:tcW w:w="1780" w:type="dxa"/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12</w:t>
            </w:r>
          </w:p>
        </w:tc>
        <w:tc>
          <w:tcPr>
            <w:tcW w:w="1780" w:type="dxa"/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20,00%</w:t>
            </w:r>
          </w:p>
        </w:tc>
      </w:tr>
      <w:tr w:rsidR="005B35F9" w:rsidRPr="00B64296" w:rsidTr="00B12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B35F9" w:rsidRPr="00B12643" w:rsidRDefault="00B12643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12643">
              <w:rPr>
                <w:rFonts w:eastAsia="Times New Roman"/>
                <w:b w:val="0"/>
                <w:color w:val="000000"/>
                <w:lang w:eastAsia="es-CO"/>
              </w:rPr>
              <w:t>Expedición de paz y salvos</w:t>
            </w:r>
          </w:p>
        </w:tc>
        <w:tc>
          <w:tcPr>
            <w:tcW w:w="1780" w:type="dxa"/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1780" w:type="dxa"/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18,33%</w:t>
            </w:r>
          </w:p>
        </w:tc>
      </w:tr>
      <w:tr w:rsidR="005B35F9" w:rsidRPr="00B64296" w:rsidTr="00B126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B35F9" w:rsidRPr="00B12643" w:rsidRDefault="00B12643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12643">
              <w:rPr>
                <w:rFonts w:eastAsia="Times New Roman"/>
                <w:b w:val="0"/>
                <w:color w:val="000000"/>
                <w:lang w:eastAsia="es-CO"/>
              </w:rPr>
              <w:t>Información estado de cuenta</w:t>
            </w:r>
          </w:p>
        </w:tc>
        <w:tc>
          <w:tcPr>
            <w:tcW w:w="1780" w:type="dxa"/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1780" w:type="dxa"/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13,33%</w:t>
            </w:r>
          </w:p>
        </w:tc>
      </w:tr>
      <w:tr w:rsidR="005B35F9" w:rsidRPr="00B64296" w:rsidTr="00B12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B35F9" w:rsidRPr="00B12643" w:rsidRDefault="00B12643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12643">
              <w:rPr>
                <w:rFonts w:eastAsia="Times New Roman"/>
                <w:b w:val="0"/>
                <w:color w:val="000000"/>
                <w:lang w:eastAsia="es-CO"/>
              </w:rPr>
              <w:t>Acuerdo de pago</w:t>
            </w:r>
          </w:p>
        </w:tc>
        <w:tc>
          <w:tcPr>
            <w:tcW w:w="1780" w:type="dxa"/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64296">
              <w:rPr>
                <w:rFonts w:eastAsia="Times New Roman"/>
                <w:color w:val="000000"/>
                <w:lang w:eastAsia="es-CO"/>
              </w:rPr>
              <w:t>8,33%</w:t>
            </w:r>
          </w:p>
        </w:tc>
      </w:tr>
      <w:tr w:rsidR="005B35F9" w:rsidRPr="00B64296" w:rsidTr="00B126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5B35F9" w:rsidRPr="00B64296" w:rsidRDefault="006512C3" w:rsidP="00A62FBC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64296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64296">
              <w:rPr>
                <w:rFonts w:eastAsia="Times New Roman"/>
                <w:b/>
                <w:bCs/>
                <w:lang w:eastAsia="es-CO"/>
              </w:rPr>
              <w:t>60</w:t>
            </w:r>
          </w:p>
        </w:tc>
        <w:tc>
          <w:tcPr>
            <w:tcW w:w="1780" w:type="dxa"/>
            <w:hideMark/>
          </w:tcPr>
          <w:p w:rsidR="005B35F9" w:rsidRPr="00B64296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64296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5B35F9" w:rsidRPr="00050FD7" w:rsidRDefault="005B35F9" w:rsidP="005B35F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B35F9" w:rsidRPr="003740CE" w:rsidRDefault="005B35F9" w:rsidP="005B35F9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lastRenderedPageBreak/>
        <w:t>ATENCIÓN PRIORITARIA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b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3167</w:t>
      </w:r>
      <w:r w:rsidRPr="001079BC">
        <w:rPr>
          <w:rFonts w:ascii="Arial" w:hAnsi="Arial" w:cs="Arial"/>
        </w:rPr>
        <w:t xml:space="preserve"> ciudadanos que se acercaron a la entidad, el </w:t>
      </w:r>
      <w:r>
        <w:rPr>
          <w:rFonts w:ascii="Arial" w:hAnsi="Arial" w:cs="Arial"/>
        </w:rPr>
        <w:t>6,88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ósea </w:t>
      </w:r>
      <w:r>
        <w:rPr>
          <w:rFonts w:ascii="Arial" w:hAnsi="Arial" w:cs="Arial"/>
        </w:rPr>
        <w:t>218,</w:t>
      </w:r>
      <w:r w:rsidRPr="001079BC">
        <w:rPr>
          <w:rFonts w:ascii="Arial" w:hAnsi="Arial" w:cs="Arial"/>
        </w:rPr>
        <w:t xml:space="preserve"> se les brindó atención prioritaria. Siendo la Dirección de Reasentamientos Humanos el área con mayor demanda, con un </w:t>
      </w:r>
      <w:r>
        <w:rPr>
          <w:rFonts w:ascii="Arial" w:hAnsi="Arial" w:cs="Arial"/>
        </w:rPr>
        <w:t>66,51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145</w:t>
      </w:r>
      <w:r w:rsidRPr="001079BC">
        <w:rPr>
          <w:rFonts w:ascii="Arial" w:hAnsi="Arial" w:cs="Arial"/>
        </w:rPr>
        <w:t>) de ciudadanos</w:t>
      </w:r>
      <w:r>
        <w:rPr>
          <w:rFonts w:ascii="Arial" w:hAnsi="Arial" w:cs="Arial"/>
        </w:rPr>
        <w:t xml:space="preserve">. La prioridad son personas adultas mayores, </w:t>
      </w:r>
      <w:r>
        <w:rPr>
          <w:rFonts w:ascii="Arial" w:hAnsi="Arial" w:cs="Arial"/>
          <w:lang w:val="es-ES_tradnl"/>
        </w:rPr>
        <w:t>mujeres lactantes y discapacitados no certificados</w:t>
      </w:r>
      <w:r>
        <w:rPr>
          <w:rFonts w:ascii="Arial" w:hAnsi="Arial" w:cs="Arial"/>
        </w:rPr>
        <w:t xml:space="preserve">, entre otros. 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540" w:type="dxa"/>
        <w:tblLook w:val="04A0" w:firstRow="1" w:lastRow="0" w:firstColumn="1" w:lastColumn="0" w:noHBand="0" w:noVBand="1"/>
      </w:tblPr>
      <w:tblGrid>
        <w:gridCol w:w="4390"/>
        <w:gridCol w:w="3370"/>
        <w:gridCol w:w="1780"/>
      </w:tblGrid>
      <w:tr w:rsidR="005B35F9" w:rsidRPr="00B26A69" w:rsidTr="00AF5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26A69" w:rsidRDefault="005B35F9" w:rsidP="00AF506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ATENCIÓN PRIORITARIA</w:t>
            </w:r>
          </w:p>
        </w:tc>
      </w:tr>
      <w:tr w:rsidR="005B35F9" w:rsidRPr="00B26A69" w:rsidTr="00835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26A69" w:rsidRDefault="005B35F9" w:rsidP="00AF506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DEPENDENCIA</w:t>
            </w:r>
          </w:p>
        </w:tc>
        <w:tc>
          <w:tcPr>
            <w:tcW w:w="337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26A69" w:rsidRDefault="005B35F9" w:rsidP="00AF50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26A69" w:rsidRDefault="005B35F9" w:rsidP="00AF50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PORCENTAJE</w:t>
            </w:r>
          </w:p>
        </w:tc>
      </w:tr>
      <w:tr w:rsidR="005B35F9" w:rsidRPr="00B26A69" w:rsidTr="00835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816612" w:rsidRDefault="00816612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16612">
              <w:rPr>
                <w:rFonts w:eastAsia="Times New Roman"/>
                <w:b w:val="0"/>
                <w:color w:val="000000"/>
                <w:lang w:eastAsia="es-CO"/>
              </w:rPr>
              <w:t>Dirección de reasentamientos</w:t>
            </w:r>
          </w:p>
        </w:tc>
        <w:tc>
          <w:tcPr>
            <w:tcW w:w="337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145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66,51%</w:t>
            </w:r>
          </w:p>
        </w:tc>
      </w:tr>
      <w:tr w:rsidR="005B35F9" w:rsidRPr="00B26A69" w:rsidTr="00835D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B35F9" w:rsidRPr="00816612" w:rsidRDefault="00816612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16612">
              <w:rPr>
                <w:rFonts w:eastAsia="Times New Roman"/>
                <w:b w:val="0"/>
                <w:color w:val="000000"/>
                <w:lang w:eastAsia="es-CO"/>
              </w:rPr>
              <w:t>Dirección de mejoramiento de vivienda</w:t>
            </w:r>
          </w:p>
        </w:tc>
        <w:tc>
          <w:tcPr>
            <w:tcW w:w="337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53</w:t>
            </w:r>
          </w:p>
        </w:tc>
        <w:tc>
          <w:tcPr>
            <w:tcW w:w="178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24,31%</w:t>
            </w:r>
          </w:p>
        </w:tc>
      </w:tr>
      <w:tr w:rsidR="005B35F9" w:rsidRPr="00B26A69" w:rsidTr="00835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B35F9" w:rsidRPr="00816612" w:rsidRDefault="00816612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16612">
              <w:rPr>
                <w:rFonts w:eastAsia="Times New Roman"/>
                <w:b w:val="0"/>
                <w:color w:val="000000"/>
                <w:lang w:eastAsia="es-CO"/>
              </w:rPr>
              <w:t>Dirección de urbanizaciones y titulación</w:t>
            </w:r>
          </w:p>
        </w:tc>
        <w:tc>
          <w:tcPr>
            <w:tcW w:w="337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20</w:t>
            </w:r>
          </w:p>
        </w:tc>
        <w:tc>
          <w:tcPr>
            <w:tcW w:w="178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9,17%</w:t>
            </w:r>
          </w:p>
        </w:tc>
      </w:tr>
      <w:tr w:rsidR="005B35F9" w:rsidRPr="00B26A69" w:rsidTr="00835D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5B35F9" w:rsidRPr="00B26A69" w:rsidRDefault="006F0C20" w:rsidP="00A62FBC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370" w:type="dxa"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26A69">
              <w:rPr>
                <w:rFonts w:eastAsia="Times New Roman"/>
                <w:b/>
                <w:bCs/>
                <w:lang w:eastAsia="es-CO"/>
              </w:rPr>
              <w:t>218</w:t>
            </w:r>
          </w:p>
        </w:tc>
        <w:tc>
          <w:tcPr>
            <w:tcW w:w="1780" w:type="dxa"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26A69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5B35F9" w:rsidRPr="00050FD7" w:rsidRDefault="005B35F9" w:rsidP="005B35F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B35F9" w:rsidRDefault="005B35F9" w:rsidP="005B35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B35F9" w:rsidRPr="001079BC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218</w:t>
      </w:r>
      <w:r w:rsidRPr="001079BC">
        <w:rPr>
          <w:rFonts w:ascii="Arial" w:hAnsi="Arial" w:cs="Arial"/>
        </w:rPr>
        <w:t xml:space="preserve"> ciudadanos con atención prioritaria en el mes de </w:t>
      </w:r>
      <w:r>
        <w:rPr>
          <w:rFonts w:ascii="Arial" w:hAnsi="Arial" w:cs="Arial"/>
        </w:rPr>
        <w:t>febrero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>
        <w:rPr>
          <w:rFonts w:ascii="Arial" w:hAnsi="Arial" w:cs="Arial"/>
        </w:rPr>
        <w:t>136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62</w:t>
      </w:r>
      <w:r w:rsidRPr="00D46675">
        <w:rPr>
          <w:rFonts w:ascii="Arial" w:hAnsi="Arial" w:cs="Arial"/>
        </w:rPr>
        <w:t>,</w:t>
      </w:r>
      <w:r>
        <w:rPr>
          <w:rFonts w:ascii="Arial" w:hAnsi="Arial" w:cs="Arial"/>
        </w:rPr>
        <w:t>39</w:t>
      </w:r>
      <w:r w:rsidRPr="001079BC">
        <w:rPr>
          <w:rFonts w:ascii="Arial" w:hAnsi="Arial" w:cs="Arial"/>
        </w:rPr>
        <w:t>%).</w:t>
      </w:r>
    </w:p>
    <w:p w:rsidR="005B35F9" w:rsidRDefault="005B35F9" w:rsidP="005B35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4-nfasis11"/>
        <w:tblW w:w="9540" w:type="dxa"/>
        <w:tblLook w:val="04A0" w:firstRow="1" w:lastRow="0" w:firstColumn="1" w:lastColumn="0" w:noHBand="0" w:noVBand="1"/>
      </w:tblPr>
      <w:tblGrid>
        <w:gridCol w:w="4390"/>
        <w:gridCol w:w="3370"/>
        <w:gridCol w:w="1780"/>
      </w:tblGrid>
      <w:tr w:rsidR="005B35F9" w:rsidRPr="00B26A69" w:rsidTr="00FC6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26A69" w:rsidRDefault="005B35F9" w:rsidP="00FC6A5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TIPO DE PRIORIDAD</w:t>
            </w:r>
          </w:p>
        </w:tc>
      </w:tr>
      <w:tr w:rsidR="005B35F9" w:rsidRPr="00B26A69" w:rsidTr="00014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26A69" w:rsidRDefault="005B35F9" w:rsidP="00FC6A5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CIUDADANO PRIORITARIO</w:t>
            </w:r>
          </w:p>
        </w:tc>
        <w:tc>
          <w:tcPr>
            <w:tcW w:w="337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26A69" w:rsidRDefault="005B35F9" w:rsidP="00FC6A5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5B35F9" w:rsidRPr="00B26A69" w:rsidRDefault="005B35F9" w:rsidP="00FC6A5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PORCENTAJE</w:t>
            </w:r>
          </w:p>
        </w:tc>
      </w:tr>
      <w:tr w:rsidR="005B35F9" w:rsidRPr="00B26A69" w:rsidTr="0001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6F0C20" w:rsidRDefault="005B35F9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F0C20">
              <w:rPr>
                <w:rFonts w:eastAsia="Times New Roman"/>
                <w:b w:val="0"/>
                <w:color w:val="000000"/>
                <w:lang w:eastAsia="es-CO"/>
              </w:rPr>
              <w:t>Adulto Mayor</w:t>
            </w:r>
          </w:p>
        </w:tc>
        <w:tc>
          <w:tcPr>
            <w:tcW w:w="337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136</w:t>
            </w:r>
          </w:p>
        </w:tc>
        <w:tc>
          <w:tcPr>
            <w:tcW w:w="1780" w:type="dxa"/>
            <w:tcBorders>
              <w:top w:val="single" w:sz="4" w:space="0" w:color="DBE5F1" w:themeColor="accent1" w:themeTint="33"/>
            </w:tcBorders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62,39%</w:t>
            </w:r>
          </w:p>
        </w:tc>
      </w:tr>
      <w:tr w:rsidR="005B35F9" w:rsidRPr="00B26A69" w:rsidTr="00014B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B35F9" w:rsidRPr="006F0C20" w:rsidRDefault="005B35F9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F0C20">
              <w:rPr>
                <w:rFonts w:eastAsia="Times New Roman"/>
                <w:b w:val="0"/>
                <w:color w:val="000000"/>
                <w:lang w:eastAsia="es-CO"/>
              </w:rPr>
              <w:t>Mujeres lactantes</w:t>
            </w:r>
          </w:p>
        </w:tc>
        <w:tc>
          <w:tcPr>
            <w:tcW w:w="337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23</w:t>
            </w:r>
          </w:p>
        </w:tc>
        <w:tc>
          <w:tcPr>
            <w:tcW w:w="178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10,55%</w:t>
            </w:r>
          </w:p>
        </w:tc>
      </w:tr>
      <w:tr w:rsidR="005B35F9" w:rsidRPr="00B26A69" w:rsidTr="0001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B35F9" w:rsidRPr="006F0C20" w:rsidRDefault="005B35F9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F0C20">
              <w:rPr>
                <w:rFonts w:eastAsia="Times New Roman"/>
                <w:b w:val="0"/>
                <w:color w:val="000000"/>
                <w:lang w:eastAsia="es-CO"/>
              </w:rPr>
              <w:t>Discapacitados/as (no certificado)</w:t>
            </w:r>
          </w:p>
        </w:tc>
        <w:tc>
          <w:tcPr>
            <w:tcW w:w="337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16</w:t>
            </w:r>
          </w:p>
        </w:tc>
        <w:tc>
          <w:tcPr>
            <w:tcW w:w="178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7,34%</w:t>
            </w:r>
          </w:p>
        </w:tc>
      </w:tr>
      <w:tr w:rsidR="005B35F9" w:rsidRPr="00B26A69" w:rsidTr="00014B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B35F9" w:rsidRPr="006F0C20" w:rsidRDefault="005B35F9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F0C20">
              <w:rPr>
                <w:rFonts w:eastAsia="Times New Roman"/>
                <w:b w:val="0"/>
                <w:color w:val="000000"/>
                <w:lang w:eastAsia="es-CO"/>
              </w:rPr>
              <w:t>Discapacitados/as (certificado)</w:t>
            </w:r>
          </w:p>
        </w:tc>
        <w:tc>
          <w:tcPr>
            <w:tcW w:w="337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178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5,05%</w:t>
            </w:r>
          </w:p>
        </w:tc>
      </w:tr>
      <w:tr w:rsidR="005B35F9" w:rsidRPr="00B26A69" w:rsidTr="0001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B35F9" w:rsidRPr="006F0C20" w:rsidRDefault="005B35F9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F0C20">
              <w:rPr>
                <w:rFonts w:eastAsia="Times New Roman"/>
                <w:b w:val="0"/>
                <w:color w:val="000000"/>
                <w:lang w:eastAsia="es-CO"/>
              </w:rPr>
              <w:t>Mujeres embarazadas</w:t>
            </w:r>
          </w:p>
        </w:tc>
        <w:tc>
          <w:tcPr>
            <w:tcW w:w="337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1780" w:type="dxa"/>
            <w:noWrap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26A69">
              <w:rPr>
                <w:rFonts w:eastAsia="Times New Roman"/>
                <w:color w:val="000000"/>
                <w:lang w:eastAsia="es-CO"/>
              </w:rPr>
              <w:t>3,67%</w:t>
            </w:r>
          </w:p>
        </w:tc>
      </w:tr>
      <w:tr w:rsidR="005B35F9" w:rsidRPr="00B26A69" w:rsidTr="00014B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:rsidR="005B35F9" w:rsidRPr="006F0C20" w:rsidRDefault="005B35F9" w:rsidP="00A62FB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F0C20">
              <w:rPr>
                <w:b w:val="0"/>
              </w:rPr>
              <w:t>Ninguna de las anteriores</w:t>
            </w:r>
          </w:p>
        </w:tc>
        <w:tc>
          <w:tcPr>
            <w:tcW w:w="3370" w:type="dxa"/>
            <w:noWrap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A102BB">
              <w:t>24</w:t>
            </w:r>
          </w:p>
        </w:tc>
        <w:tc>
          <w:tcPr>
            <w:tcW w:w="1780" w:type="dxa"/>
            <w:noWrap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A102BB">
              <w:t>11,01%</w:t>
            </w:r>
          </w:p>
        </w:tc>
      </w:tr>
      <w:tr w:rsidR="005B35F9" w:rsidRPr="00B26A69" w:rsidTr="0001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5B35F9" w:rsidRPr="00B26A69" w:rsidRDefault="006F0C20" w:rsidP="00A62FBC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26A6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370" w:type="dxa"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26A69">
              <w:rPr>
                <w:rFonts w:eastAsia="Times New Roman"/>
                <w:b/>
                <w:bCs/>
                <w:lang w:eastAsia="es-CO"/>
              </w:rPr>
              <w:t>218</w:t>
            </w:r>
          </w:p>
        </w:tc>
        <w:tc>
          <w:tcPr>
            <w:tcW w:w="1780" w:type="dxa"/>
            <w:hideMark/>
          </w:tcPr>
          <w:p w:rsidR="005B35F9" w:rsidRPr="00B26A69" w:rsidRDefault="005B35F9" w:rsidP="00A62F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26A69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5B35F9" w:rsidRPr="00050FD7" w:rsidRDefault="005B35F9" w:rsidP="005B35F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5B35F9" w:rsidRDefault="005B35F9" w:rsidP="005B35F9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5B35F9" w:rsidRDefault="005B35F9" w:rsidP="005B35F9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5B35F9" w:rsidRPr="005B2EA1" w:rsidRDefault="005B35F9" w:rsidP="005B35F9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5B2EA1">
        <w:rPr>
          <w:rFonts w:ascii="Arial" w:hAnsi="Arial" w:cs="Arial"/>
          <w:b/>
          <w:u w:val="single"/>
        </w:rPr>
        <w:t>DETALLE DE LA ATENCIÓN POR EL CANAL TELEFONICO DE LAS DIFERENTES DEPENDENCIAS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  <w:r w:rsidRPr="001079BC">
        <w:rPr>
          <w:rFonts w:ascii="Arial" w:hAnsi="Arial" w:cs="Arial"/>
        </w:rPr>
        <w:t xml:space="preserve"> </w:t>
      </w:r>
    </w:p>
    <w:p w:rsidR="005B35F9" w:rsidRDefault="005B35F9" w:rsidP="005B35F9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59BA28F0" wp14:editId="55C15F52">
            <wp:extent cx="5886450" cy="2924175"/>
            <wp:effectExtent l="0" t="0" r="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A859" wp14:editId="27B15D30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5F9" w:rsidRPr="00A21483" w:rsidRDefault="005B35F9" w:rsidP="005B35F9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2A859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:rsidR="005B35F9" w:rsidRPr="00A21483" w:rsidRDefault="005B35F9" w:rsidP="005B35F9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:rsidR="005B35F9" w:rsidRPr="00050FD7" w:rsidRDefault="005B35F9" w:rsidP="005B35F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Llamadas contestadas, no contestadas y ocupado - Febrero 2019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090C46" w:rsidRDefault="00090C46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B35F9" w:rsidRDefault="005B35F9" w:rsidP="005B35F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5A50C1D8" wp14:editId="67295947">
            <wp:extent cx="5886450" cy="330517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Informe Conmutador del mes de Febrero 2019 discriminado por dependencia.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lastRenderedPageBreak/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totalidad de las 47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 xml:space="preserve">%) llamadas 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 De igual manera se puede observar que el área con más llamadas recibidas es Dirección de Reasentamientos Humanos con </w:t>
      </w:r>
      <w:r>
        <w:rPr>
          <w:rFonts w:ascii="Arial" w:hAnsi="Arial" w:cs="Arial"/>
        </w:rPr>
        <w:t>26</w:t>
      </w:r>
      <w:r w:rsidRPr="001079BC">
        <w:rPr>
          <w:rFonts w:ascii="Arial" w:hAnsi="Arial" w:cs="Arial"/>
        </w:rPr>
        <w:t xml:space="preserve"> registros telefónicos, lo que representa un </w:t>
      </w:r>
      <w:r>
        <w:rPr>
          <w:rFonts w:ascii="Arial" w:hAnsi="Arial" w:cs="Arial"/>
        </w:rPr>
        <w:t>55,32%.</w:t>
      </w: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after="0" w:line="240" w:lineRule="auto"/>
        <w:jc w:val="both"/>
        <w:rPr>
          <w:rFonts w:ascii="Arial" w:hAnsi="Arial" w:cs="Arial"/>
        </w:rPr>
      </w:pPr>
    </w:p>
    <w:p w:rsidR="005B35F9" w:rsidRPr="00635E63" w:rsidRDefault="005B35F9" w:rsidP="005B35F9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:rsidR="005B35F9" w:rsidRPr="001079BC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:rsidR="005B35F9" w:rsidRDefault="005B35F9" w:rsidP="005B35F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Para el mes de </w:t>
      </w:r>
      <w:r>
        <w:rPr>
          <w:rFonts w:ascii="Arial" w:hAnsi="Arial" w:cs="Arial"/>
        </w:rPr>
        <w:t>febrero de 2019</w:t>
      </w:r>
      <w:r w:rsidRPr="001079BC">
        <w:rPr>
          <w:rFonts w:ascii="Arial" w:hAnsi="Arial" w:cs="Arial"/>
        </w:rPr>
        <w:t xml:space="preserve"> a la entidad se acercaron </w:t>
      </w:r>
      <w:r>
        <w:rPr>
          <w:rFonts w:ascii="Arial" w:hAnsi="Arial" w:cs="Arial"/>
        </w:rPr>
        <w:t xml:space="preserve">3.167 ciudadanos, de los cuales </w:t>
      </w:r>
      <w:r w:rsidRPr="001079BC">
        <w:rPr>
          <w:rFonts w:ascii="Arial" w:hAnsi="Arial" w:cs="Arial"/>
        </w:rPr>
        <w:t>alrededor de</w:t>
      </w:r>
      <w:r>
        <w:rPr>
          <w:rFonts w:ascii="Arial" w:hAnsi="Arial" w:cs="Arial"/>
        </w:rPr>
        <w:t xml:space="preserve">l </w:t>
      </w:r>
      <w:r w:rsidR="008D1500" w:rsidRPr="008D1500">
        <w:rPr>
          <w:rFonts w:ascii="Arial" w:hAnsi="Arial" w:cs="Arial"/>
        </w:rPr>
        <w:t>53,55</w:t>
      </w:r>
      <w:r w:rsidRPr="00376410">
        <w:rPr>
          <w:rFonts w:ascii="Arial" w:hAnsi="Arial" w:cs="Arial"/>
        </w:rPr>
        <w:t>% (</w:t>
      </w:r>
      <w:r w:rsidR="008D1500">
        <w:rPr>
          <w:rFonts w:ascii="Arial" w:hAnsi="Arial" w:cs="Arial"/>
        </w:rPr>
        <w:t>1</w:t>
      </w:r>
      <w:r w:rsidR="009812C3">
        <w:rPr>
          <w:rFonts w:ascii="Arial" w:hAnsi="Arial" w:cs="Arial"/>
        </w:rPr>
        <w:t>.</w:t>
      </w:r>
      <w:r w:rsidR="008D1500">
        <w:rPr>
          <w:rFonts w:ascii="Arial" w:hAnsi="Arial" w:cs="Arial"/>
        </w:rPr>
        <w:t>6</w:t>
      </w:r>
      <w:r w:rsidR="009812C3">
        <w:rPr>
          <w:rFonts w:ascii="Arial" w:hAnsi="Arial" w:cs="Arial"/>
        </w:rPr>
        <w:t>96</w:t>
      </w:r>
      <w:r w:rsidRPr="00376410">
        <w:rPr>
          <w:rFonts w:ascii="Arial" w:hAnsi="Arial" w:cs="Arial"/>
        </w:rPr>
        <w:t xml:space="preserve">) de ciudadanos/usuarios lo hicieron con el objetivo de </w:t>
      </w:r>
      <w:r w:rsidRPr="001079BC">
        <w:rPr>
          <w:rFonts w:ascii="Arial" w:hAnsi="Arial" w:cs="Arial"/>
        </w:rPr>
        <w:t>conocer el estado del proceso</w:t>
      </w:r>
      <w:r w:rsidRPr="00376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para </w:t>
      </w:r>
      <w:r w:rsidRPr="00376410">
        <w:rPr>
          <w:rFonts w:ascii="Arial" w:hAnsi="Arial" w:cs="Arial"/>
        </w:rPr>
        <w:t>solicitar información general de los programas</w:t>
      </w:r>
      <w:r w:rsidRPr="001079BC">
        <w:rPr>
          <w:rFonts w:ascii="Arial" w:hAnsi="Arial" w:cs="Arial"/>
        </w:rPr>
        <w:t xml:space="preserve"> a los cuales se acercaron.</w:t>
      </w:r>
      <w:r>
        <w:rPr>
          <w:rFonts w:ascii="Arial" w:hAnsi="Arial" w:cs="Arial"/>
        </w:rPr>
        <w:t xml:space="preserve"> </w:t>
      </w:r>
      <w:r w:rsidRPr="007529DE">
        <w:rPr>
          <w:rFonts w:ascii="Arial" w:hAnsi="Arial" w:cs="Arial"/>
        </w:rPr>
        <w:t xml:space="preserve">Y de manera consolidada, de enero a </w:t>
      </w:r>
      <w:r>
        <w:rPr>
          <w:rFonts w:ascii="Arial" w:hAnsi="Arial" w:cs="Arial"/>
        </w:rPr>
        <w:t>febrero</w:t>
      </w:r>
      <w:r w:rsidRPr="007529DE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7529DE">
        <w:rPr>
          <w:rFonts w:ascii="Arial" w:hAnsi="Arial" w:cs="Arial"/>
        </w:rPr>
        <w:t xml:space="preserve">, se han acercado a la entidad </w:t>
      </w:r>
      <w:r>
        <w:rPr>
          <w:rFonts w:ascii="Arial" w:hAnsi="Arial" w:cs="Arial"/>
        </w:rPr>
        <w:t>6</w:t>
      </w:r>
      <w:r w:rsidRPr="007529DE">
        <w:rPr>
          <w:rFonts w:ascii="Arial" w:hAnsi="Arial" w:cs="Arial"/>
        </w:rPr>
        <w:t>.</w:t>
      </w:r>
      <w:r>
        <w:rPr>
          <w:rFonts w:ascii="Arial" w:hAnsi="Arial" w:cs="Arial"/>
        </w:rPr>
        <w:t>152</w:t>
      </w:r>
      <w:r w:rsidRPr="007529DE">
        <w:rPr>
          <w:rFonts w:ascii="Arial" w:hAnsi="Arial" w:cs="Arial"/>
        </w:rPr>
        <w:t xml:space="preserve"> (100</w:t>
      </w:r>
      <w:r>
        <w:rPr>
          <w:rFonts w:ascii="Arial" w:hAnsi="Arial" w:cs="Arial"/>
        </w:rPr>
        <w:t>%</w:t>
      </w:r>
      <w:r w:rsidRPr="007529DE">
        <w:rPr>
          <w:rFonts w:ascii="Arial" w:hAnsi="Arial" w:cs="Arial"/>
        </w:rPr>
        <w:t xml:space="preserve">) ciudadanos/usuarios, de los cuales alrededor del </w:t>
      </w:r>
      <w:r w:rsidR="004D73FD" w:rsidRPr="004D73FD">
        <w:rPr>
          <w:rFonts w:ascii="Arial" w:hAnsi="Arial" w:cs="Arial"/>
        </w:rPr>
        <w:t>67,0</w:t>
      </w:r>
      <w:r w:rsidR="004D73FD">
        <w:rPr>
          <w:rFonts w:ascii="Arial" w:hAnsi="Arial" w:cs="Arial"/>
        </w:rPr>
        <w:t>2</w:t>
      </w:r>
      <w:r w:rsidRPr="007529DE">
        <w:rPr>
          <w:rFonts w:ascii="Arial" w:hAnsi="Arial" w:cs="Arial"/>
        </w:rPr>
        <w:t>% (</w:t>
      </w:r>
      <w:r w:rsidR="004D73FD">
        <w:rPr>
          <w:rFonts w:ascii="Arial" w:hAnsi="Arial" w:cs="Arial"/>
        </w:rPr>
        <w:t>4.123</w:t>
      </w:r>
      <w:r w:rsidRPr="007529DE">
        <w:rPr>
          <w:rFonts w:ascii="Arial" w:hAnsi="Arial" w:cs="Arial"/>
        </w:rPr>
        <w:t>) de las visitas fueron para estos temas</w:t>
      </w:r>
      <w:r w:rsidRPr="001079BC">
        <w:rPr>
          <w:rFonts w:ascii="Arial" w:hAnsi="Arial" w:cs="Arial"/>
        </w:rPr>
        <w:t>.</w:t>
      </w:r>
    </w:p>
    <w:p w:rsidR="005B35F9" w:rsidRDefault="005B35F9" w:rsidP="005B35F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Pr="001079BC">
        <w:rPr>
          <w:rFonts w:ascii="Arial" w:hAnsi="Arial" w:cs="Arial"/>
        </w:rPr>
        <w:t xml:space="preserve"> establece la importancia de </w:t>
      </w:r>
      <w:r>
        <w:rPr>
          <w:rFonts w:ascii="Arial" w:hAnsi="Arial" w:cs="Arial"/>
        </w:rPr>
        <w:t xml:space="preserve">implementar </w:t>
      </w:r>
      <w:r w:rsidRPr="001079BC">
        <w:rPr>
          <w:rFonts w:ascii="Arial" w:hAnsi="Arial" w:cs="Arial"/>
        </w:rPr>
        <w:t>la Política de Gobierno Digital, que permita fomentar el acceso a la información de una manera más ágil</w:t>
      </w:r>
      <w:r>
        <w:rPr>
          <w:rFonts w:ascii="Arial" w:hAnsi="Arial" w:cs="Arial"/>
        </w:rPr>
        <w:t>;</w:t>
      </w:r>
      <w:r w:rsidRPr="001079BC">
        <w:rPr>
          <w:rFonts w:ascii="Arial" w:hAnsi="Arial" w:cs="Arial"/>
        </w:rPr>
        <w:t xml:space="preserve"> abordando las herramientas tecnológicas como la página web, las redes sociales y aplicativos para smartphone</w:t>
      </w:r>
      <w:r>
        <w:rPr>
          <w:rFonts w:ascii="Arial" w:hAnsi="Arial" w:cs="Arial"/>
        </w:rPr>
        <w:t>, lo cual permitirá de alguna manera descongestionar el área de atención al ciudadano y la misma entidad; mejorando la calidad de vida de los ciudadanos/usuarios que acceden a la entidad.</w:t>
      </w:r>
    </w:p>
    <w:p w:rsidR="005B35F9" w:rsidRDefault="005B35F9" w:rsidP="005B35F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5B35F9" w:rsidRDefault="005B35F9" w:rsidP="005B35F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F4516A">
        <w:rPr>
          <w:rFonts w:ascii="Arial" w:hAnsi="Arial" w:cs="Arial"/>
        </w:rPr>
        <w:t>Dar a conocer en detalle al usuario los diferentes canales de interacción, puntos de atención en terreno y en la CVP. Evitando que los Ciudadanos más vulnerables tengan que desplazarse lejos de su vivienda.</w:t>
      </w:r>
    </w:p>
    <w:p w:rsidR="005B35F9" w:rsidRPr="001079BC" w:rsidRDefault="005B35F9" w:rsidP="005B35F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5B35F9" w:rsidRPr="00316D58" w:rsidRDefault="005B35F9" w:rsidP="005B35F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1079BC">
        <w:rPr>
          <w:rFonts w:ascii="Arial" w:hAnsi="Arial" w:cs="Arial"/>
        </w:rPr>
        <w:t xml:space="preserve">Facilitar el acceso a la información sobre los trámites y servicios que presta la </w:t>
      </w:r>
      <w:r>
        <w:rPr>
          <w:rFonts w:ascii="Arial" w:hAnsi="Arial" w:cs="Arial"/>
        </w:rPr>
        <w:t>entidad</w:t>
      </w:r>
      <w:r w:rsidRPr="001079BC">
        <w:rPr>
          <w:rFonts w:ascii="Arial" w:hAnsi="Arial" w:cs="Arial"/>
        </w:rPr>
        <w:t xml:space="preserve"> de manera virtual, permitirá empoderar a los ciudadanos</w:t>
      </w:r>
      <w:r>
        <w:rPr>
          <w:rFonts w:ascii="Arial" w:hAnsi="Arial" w:cs="Arial"/>
        </w:rPr>
        <w:t>;</w:t>
      </w:r>
      <w:r w:rsidRPr="001079BC">
        <w:rPr>
          <w:rFonts w:ascii="Arial" w:hAnsi="Arial" w:cs="Arial"/>
        </w:rPr>
        <w:t xml:space="preserve"> haciéndolos participes en la construcción de una </w:t>
      </w:r>
      <w:r w:rsidRPr="00316D58">
        <w:rPr>
          <w:rFonts w:ascii="Arial" w:hAnsi="Arial" w:cs="Arial"/>
          <w:b/>
        </w:rPr>
        <w:t>¡BOGOTA MEJOR PARA TODOS!</w:t>
      </w:r>
    </w:p>
    <w:p w:rsidR="005B35F9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B35F9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B35F9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B35F9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B35F9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4E4D9D" w:rsidRDefault="004E4D9D" w:rsidP="007307BA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B35F9" w:rsidRPr="003A3FF5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:rsidR="005B35F9" w:rsidRPr="003A3FF5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  <w:r w:rsidRPr="003A3FF5">
        <w:rPr>
          <w:rFonts w:ascii="Arial" w:eastAsia="Times New Roman" w:hAnsi="Arial" w:cs="Arial"/>
          <w:b/>
          <w:color w:val="222222"/>
          <w:lang w:eastAsia="es-CO"/>
        </w:rPr>
        <w:t>EDGAR DAVID MOTTA REVOLLO</w:t>
      </w:r>
    </w:p>
    <w:p w:rsidR="005B35F9" w:rsidRPr="003A3FF5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3A3FF5">
        <w:rPr>
          <w:rFonts w:ascii="Arial" w:eastAsia="Times New Roman" w:hAnsi="Arial" w:cs="Arial"/>
          <w:color w:val="222222"/>
          <w:lang w:eastAsia="es-CO"/>
        </w:rPr>
        <w:t xml:space="preserve">Director de Gestión Corporativa y CID </w:t>
      </w:r>
    </w:p>
    <w:p w:rsidR="005B35F9" w:rsidRPr="00AF0CB1" w:rsidRDefault="005B35F9" w:rsidP="005B35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5F9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Oscar Ariel Ramírez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Ramírez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– Contratista (394 de 2019)</w:t>
      </w:r>
    </w:p>
    <w:p w:rsidR="005B35F9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 xml:space="preserve">   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Cáceres - Profesional Especializado 222-05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5B35F9" w:rsidRDefault="005B35F9" w:rsidP="005B35F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5B35F9" w:rsidRPr="007E2536" w:rsidRDefault="005B35F9" w:rsidP="005B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               </w:t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5B35F9" w:rsidRPr="00AF0CB1" w:rsidRDefault="005B35F9" w:rsidP="005B35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A4276" w:rsidRPr="005B35F9" w:rsidRDefault="002A4276" w:rsidP="005B35F9"/>
    <w:sectPr w:rsidR="002A4276" w:rsidRPr="005B35F9" w:rsidSect="00643927">
      <w:headerReference w:type="default" r:id="rId12"/>
      <w:footerReference w:type="default" r:id="rId13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07" w:rsidRDefault="00165C07" w:rsidP="000C58E8">
      <w:pPr>
        <w:spacing w:after="0" w:line="240" w:lineRule="auto"/>
      </w:pPr>
      <w:r>
        <w:separator/>
      </w:r>
    </w:p>
  </w:endnote>
  <w:endnote w:type="continuationSeparator" w:id="0">
    <w:p w:rsidR="00165C07" w:rsidRDefault="00165C07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Default="000D0F4C" w:rsidP="00921972">
    <w:pPr>
      <w:pStyle w:val="Piedepgina"/>
      <w:ind w:left="-1701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9E720" wp14:editId="5F54812D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Código: 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208-S</w:t>
                          </w:r>
                          <w:r w:rsidR="00141A69" w:rsidRPr="00643927">
                            <w:rPr>
                              <w:sz w:val="12"/>
                              <w:szCs w:val="12"/>
                            </w:rPr>
                            <w:t>C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 w:rsidR="0039692B" w:rsidRPr="00643927">
                            <w:rPr>
                              <w:sz w:val="12"/>
                              <w:szCs w:val="12"/>
                            </w:rPr>
                            <w:t>Ft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-01</w:t>
                          </w:r>
                        </w:p>
                        <w:p w:rsidR="008B7F40" w:rsidRPr="00643927" w:rsidRDefault="008C777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Versión: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/0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/201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9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E9E720" id="3 Rectángulo" o:spid="_x0000_s1027" style="position:absolute;left:0;text-align:left;margin-left:-2.55pt;margin-top:2.95pt;width:6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Código: </w:t>
                    </w:r>
                    <w:r w:rsidR="0068406C" w:rsidRPr="00643927">
                      <w:rPr>
                        <w:sz w:val="12"/>
                        <w:szCs w:val="12"/>
                      </w:rPr>
                      <w:t>208-S</w:t>
                    </w:r>
                    <w:r w:rsidR="00141A69" w:rsidRPr="00643927">
                      <w:rPr>
                        <w:sz w:val="12"/>
                        <w:szCs w:val="12"/>
                      </w:rPr>
                      <w:t>C</w:t>
                    </w:r>
                    <w:r w:rsidR="0068406C" w:rsidRPr="00643927">
                      <w:rPr>
                        <w:sz w:val="12"/>
                        <w:szCs w:val="12"/>
                      </w:rPr>
                      <w:t>-</w:t>
                    </w:r>
                    <w:r w:rsidR="0039692B" w:rsidRPr="00643927">
                      <w:rPr>
                        <w:sz w:val="12"/>
                        <w:szCs w:val="12"/>
                      </w:rPr>
                      <w:t>Ft</w:t>
                    </w:r>
                    <w:r w:rsidR="0068406C" w:rsidRPr="00643927">
                      <w:rPr>
                        <w:sz w:val="12"/>
                        <w:szCs w:val="12"/>
                      </w:rPr>
                      <w:t>-01</w:t>
                    </w:r>
                  </w:p>
                  <w:p w:rsidR="008B7F40" w:rsidRPr="00643927" w:rsidRDefault="008C777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Versión:</w:t>
                    </w:r>
                    <w:r w:rsidR="0068406C" w:rsidRPr="00643927">
                      <w:rPr>
                        <w:sz w:val="12"/>
                        <w:szCs w:val="12"/>
                      </w:rPr>
                      <w:t xml:space="preserve"> </w:t>
                    </w:r>
                    <w:r w:rsidR="00DB3B3A">
                      <w:rPr>
                        <w:sz w:val="12"/>
                        <w:szCs w:val="12"/>
                      </w:rPr>
                      <w:t>1</w:t>
                    </w:r>
                  </w:p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 w:rsidR="00DB3B3A">
                      <w:rPr>
                        <w:sz w:val="12"/>
                        <w:szCs w:val="12"/>
                      </w:rPr>
                      <w:t>30</w:t>
                    </w:r>
                    <w:r w:rsidR="0068406C" w:rsidRPr="00643927">
                      <w:rPr>
                        <w:sz w:val="12"/>
                        <w:szCs w:val="12"/>
                      </w:rPr>
                      <w:t>/0</w:t>
                    </w:r>
                    <w:r w:rsidR="00643927" w:rsidRPr="00643927">
                      <w:rPr>
                        <w:sz w:val="12"/>
                        <w:szCs w:val="12"/>
                      </w:rPr>
                      <w:t>1</w:t>
                    </w:r>
                    <w:r w:rsidR="0068406C" w:rsidRPr="00643927">
                      <w:rPr>
                        <w:sz w:val="12"/>
                        <w:szCs w:val="12"/>
                      </w:rPr>
                      <w:t>/201</w:t>
                    </w:r>
                    <w:r w:rsidR="00643927" w:rsidRPr="00643927">
                      <w:rPr>
                        <w:sz w:val="12"/>
                        <w:szCs w:val="12"/>
                      </w:rPr>
                      <w:t>9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39" behindDoc="1" locked="0" layoutInCell="1" allowOverlap="1" wp14:anchorId="2AA87000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07" w:rsidRDefault="00165C07" w:rsidP="000C58E8">
      <w:pPr>
        <w:spacing w:after="0" w:line="240" w:lineRule="auto"/>
      </w:pPr>
      <w:r>
        <w:separator/>
      </w:r>
    </w:p>
  </w:footnote>
  <w:footnote w:type="continuationSeparator" w:id="0">
    <w:p w:rsidR="00165C07" w:rsidRDefault="00165C07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Pr="00177920" w:rsidRDefault="008B7F40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78052549" wp14:editId="7874623E">
          <wp:extent cx="900000" cy="900000"/>
          <wp:effectExtent l="0" t="0" r="0" b="0"/>
          <wp:docPr id="21" name="Imagen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F40" w:rsidRDefault="008B7F4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4084"/>
    <w:rsid w:val="00014B0A"/>
    <w:rsid w:val="000256D8"/>
    <w:rsid w:val="00031F3B"/>
    <w:rsid w:val="00035E4F"/>
    <w:rsid w:val="00051E81"/>
    <w:rsid w:val="00066096"/>
    <w:rsid w:val="00076C23"/>
    <w:rsid w:val="00082A2E"/>
    <w:rsid w:val="00090C46"/>
    <w:rsid w:val="000B2C3B"/>
    <w:rsid w:val="000C4A79"/>
    <w:rsid w:val="000C58E8"/>
    <w:rsid w:val="000D0403"/>
    <w:rsid w:val="000D0F4C"/>
    <w:rsid w:val="000D72BC"/>
    <w:rsid w:val="000E6F99"/>
    <w:rsid w:val="000F1B99"/>
    <w:rsid w:val="000F39D9"/>
    <w:rsid w:val="001011D2"/>
    <w:rsid w:val="00121000"/>
    <w:rsid w:val="001216E1"/>
    <w:rsid w:val="00130AD5"/>
    <w:rsid w:val="00132855"/>
    <w:rsid w:val="00141A69"/>
    <w:rsid w:val="0015130E"/>
    <w:rsid w:val="00164AA5"/>
    <w:rsid w:val="00165C07"/>
    <w:rsid w:val="00173D59"/>
    <w:rsid w:val="00177920"/>
    <w:rsid w:val="0018498E"/>
    <w:rsid w:val="00186BE7"/>
    <w:rsid w:val="0019480F"/>
    <w:rsid w:val="001964B7"/>
    <w:rsid w:val="001A17FE"/>
    <w:rsid w:val="001A450D"/>
    <w:rsid w:val="001B78D3"/>
    <w:rsid w:val="001C59BC"/>
    <w:rsid w:val="001D2790"/>
    <w:rsid w:val="001D5963"/>
    <w:rsid w:val="001E0FAD"/>
    <w:rsid w:val="001E3E1F"/>
    <w:rsid w:val="0020294A"/>
    <w:rsid w:val="002034E3"/>
    <w:rsid w:val="002068B9"/>
    <w:rsid w:val="00210CB9"/>
    <w:rsid w:val="00221395"/>
    <w:rsid w:val="00221BD1"/>
    <w:rsid w:val="00221EC5"/>
    <w:rsid w:val="00241A63"/>
    <w:rsid w:val="002475BD"/>
    <w:rsid w:val="00261620"/>
    <w:rsid w:val="00270462"/>
    <w:rsid w:val="00275724"/>
    <w:rsid w:val="0027777A"/>
    <w:rsid w:val="002A4276"/>
    <w:rsid w:val="002A4E15"/>
    <w:rsid w:val="002A568E"/>
    <w:rsid w:val="002B058C"/>
    <w:rsid w:val="002B28C0"/>
    <w:rsid w:val="002C67B6"/>
    <w:rsid w:val="002F59A8"/>
    <w:rsid w:val="00303675"/>
    <w:rsid w:val="00316D58"/>
    <w:rsid w:val="00325B49"/>
    <w:rsid w:val="0034127D"/>
    <w:rsid w:val="00342842"/>
    <w:rsid w:val="00352B19"/>
    <w:rsid w:val="00370B94"/>
    <w:rsid w:val="00380632"/>
    <w:rsid w:val="003877AF"/>
    <w:rsid w:val="0039692B"/>
    <w:rsid w:val="003A0989"/>
    <w:rsid w:val="003A3FF5"/>
    <w:rsid w:val="003C5CA8"/>
    <w:rsid w:val="003D08FF"/>
    <w:rsid w:val="003D1AA8"/>
    <w:rsid w:val="003E4BB7"/>
    <w:rsid w:val="003E6E7A"/>
    <w:rsid w:val="003F6965"/>
    <w:rsid w:val="0042440B"/>
    <w:rsid w:val="00427F6F"/>
    <w:rsid w:val="00454A74"/>
    <w:rsid w:val="00473324"/>
    <w:rsid w:val="00473860"/>
    <w:rsid w:val="0047514A"/>
    <w:rsid w:val="00481A67"/>
    <w:rsid w:val="004833D6"/>
    <w:rsid w:val="004A1F2E"/>
    <w:rsid w:val="004A6C5B"/>
    <w:rsid w:val="004A779E"/>
    <w:rsid w:val="004D102E"/>
    <w:rsid w:val="004D1B2E"/>
    <w:rsid w:val="004D5A43"/>
    <w:rsid w:val="004D73FD"/>
    <w:rsid w:val="004E2C24"/>
    <w:rsid w:val="004E4D9D"/>
    <w:rsid w:val="004F5E67"/>
    <w:rsid w:val="0052686B"/>
    <w:rsid w:val="005546AF"/>
    <w:rsid w:val="00554FB0"/>
    <w:rsid w:val="00562ED1"/>
    <w:rsid w:val="0058459B"/>
    <w:rsid w:val="005A2861"/>
    <w:rsid w:val="005A298E"/>
    <w:rsid w:val="005A328F"/>
    <w:rsid w:val="005B35F9"/>
    <w:rsid w:val="005B3B9D"/>
    <w:rsid w:val="005B6B5D"/>
    <w:rsid w:val="005D6B51"/>
    <w:rsid w:val="005E3FD3"/>
    <w:rsid w:val="005F286C"/>
    <w:rsid w:val="00603917"/>
    <w:rsid w:val="00615698"/>
    <w:rsid w:val="00620137"/>
    <w:rsid w:val="006227DB"/>
    <w:rsid w:val="0063656D"/>
    <w:rsid w:val="006430E4"/>
    <w:rsid w:val="00643927"/>
    <w:rsid w:val="006512C3"/>
    <w:rsid w:val="00660DEE"/>
    <w:rsid w:val="006639DA"/>
    <w:rsid w:val="00663FC5"/>
    <w:rsid w:val="006726D3"/>
    <w:rsid w:val="0068406C"/>
    <w:rsid w:val="006B104C"/>
    <w:rsid w:val="006C09AA"/>
    <w:rsid w:val="006D7AC5"/>
    <w:rsid w:val="006E54C6"/>
    <w:rsid w:val="006F0C20"/>
    <w:rsid w:val="006F12B9"/>
    <w:rsid w:val="006F5219"/>
    <w:rsid w:val="006F6E73"/>
    <w:rsid w:val="00711BE8"/>
    <w:rsid w:val="00724128"/>
    <w:rsid w:val="00725086"/>
    <w:rsid w:val="00725BD5"/>
    <w:rsid w:val="007307BA"/>
    <w:rsid w:val="00735E4F"/>
    <w:rsid w:val="007375DE"/>
    <w:rsid w:val="00762049"/>
    <w:rsid w:val="00776343"/>
    <w:rsid w:val="00793709"/>
    <w:rsid w:val="007B5930"/>
    <w:rsid w:val="007D224B"/>
    <w:rsid w:val="007E046B"/>
    <w:rsid w:val="007F62AA"/>
    <w:rsid w:val="0081152E"/>
    <w:rsid w:val="00816612"/>
    <w:rsid w:val="00825DB4"/>
    <w:rsid w:val="00835D5E"/>
    <w:rsid w:val="00853F0F"/>
    <w:rsid w:val="00861690"/>
    <w:rsid w:val="00877678"/>
    <w:rsid w:val="00897924"/>
    <w:rsid w:val="008A7BC5"/>
    <w:rsid w:val="008B25AC"/>
    <w:rsid w:val="008B38A3"/>
    <w:rsid w:val="008B67E9"/>
    <w:rsid w:val="008B7F40"/>
    <w:rsid w:val="008C601C"/>
    <w:rsid w:val="008C714F"/>
    <w:rsid w:val="008C7779"/>
    <w:rsid w:val="008D1500"/>
    <w:rsid w:val="008D79DA"/>
    <w:rsid w:val="008F6B10"/>
    <w:rsid w:val="00904F1F"/>
    <w:rsid w:val="0091298D"/>
    <w:rsid w:val="00921972"/>
    <w:rsid w:val="00923331"/>
    <w:rsid w:val="00923EA5"/>
    <w:rsid w:val="00924C6F"/>
    <w:rsid w:val="00933218"/>
    <w:rsid w:val="00941E95"/>
    <w:rsid w:val="00943E12"/>
    <w:rsid w:val="009469F1"/>
    <w:rsid w:val="009506D1"/>
    <w:rsid w:val="00954285"/>
    <w:rsid w:val="009554B9"/>
    <w:rsid w:val="00966F33"/>
    <w:rsid w:val="009732B4"/>
    <w:rsid w:val="009812C3"/>
    <w:rsid w:val="00991070"/>
    <w:rsid w:val="00997817"/>
    <w:rsid w:val="009B0A26"/>
    <w:rsid w:val="009C38D8"/>
    <w:rsid w:val="009D10D4"/>
    <w:rsid w:val="009D165F"/>
    <w:rsid w:val="00A149DF"/>
    <w:rsid w:val="00A17932"/>
    <w:rsid w:val="00A17A5A"/>
    <w:rsid w:val="00A2521B"/>
    <w:rsid w:val="00A30483"/>
    <w:rsid w:val="00A55294"/>
    <w:rsid w:val="00A640A4"/>
    <w:rsid w:val="00A67209"/>
    <w:rsid w:val="00A727C6"/>
    <w:rsid w:val="00A77DC7"/>
    <w:rsid w:val="00A95B08"/>
    <w:rsid w:val="00AE7B5D"/>
    <w:rsid w:val="00AF5061"/>
    <w:rsid w:val="00B12643"/>
    <w:rsid w:val="00B17EF6"/>
    <w:rsid w:val="00B436DC"/>
    <w:rsid w:val="00B577BF"/>
    <w:rsid w:val="00B66BB2"/>
    <w:rsid w:val="00B9424D"/>
    <w:rsid w:val="00B94404"/>
    <w:rsid w:val="00BA2636"/>
    <w:rsid w:val="00BC0B2C"/>
    <w:rsid w:val="00BC34E2"/>
    <w:rsid w:val="00BD0322"/>
    <w:rsid w:val="00BD2C28"/>
    <w:rsid w:val="00C058F6"/>
    <w:rsid w:val="00C12E80"/>
    <w:rsid w:val="00C2599E"/>
    <w:rsid w:val="00C364CA"/>
    <w:rsid w:val="00C4488A"/>
    <w:rsid w:val="00C46DA1"/>
    <w:rsid w:val="00C474E5"/>
    <w:rsid w:val="00C63F7A"/>
    <w:rsid w:val="00C773AC"/>
    <w:rsid w:val="00C85404"/>
    <w:rsid w:val="00C94716"/>
    <w:rsid w:val="00C960A8"/>
    <w:rsid w:val="00CA39AC"/>
    <w:rsid w:val="00CB1C45"/>
    <w:rsid w:val="00CE01AC"/>
    <w:rsid w:val="00D47418"/>
    <w:rsid w:val="00D54968"/>
    <w:rsid w:val="00D54BAF"/>
    <w:rsid w:val="00D64B87"/>
    <w:rsid w:val="00D80EF7"/>
    <w:rsid w:val="00D86B63"/>
    <w:rsid w:val="00DA0BDA"/>
    <w:rsid w:val="00DB1F7E"/>
    <w:rsid w:val="00DB3B3A"/>
    <w:rsid w:val="00DD71FA"/>
    <w:rsid w:val="00DE109B"/>
    <w:rsid w:val="00E16814"/>
    <w:rsid w:val="00E2550E"/>
    <w:rsid w:val="00E40F21"/>
    <w:rsid w:val="00E457AA"/>
    <w:rsid w:val="00E46B29"/>
    <w:rsid w:val="00E7344F"/>
    <w:rsid w:val="00E859CB"/>
    <w:rsid w:val="00E95180"/>
    <w:rsid w:val="00E97B6F"/>
    <w:rsid w:val="00EB037C"/>
    <w:rsid w:val="00EC3AE3"/>
    <w:rsid w:val="00EC76CB"/>
    <w:rsid w:val="00ED127F"/>
    <w:rsid w:val="00EE2FBB"/>
    <w:rsid w:val="00EE3BD7"/>
    <w:rsid w:val="00EF05D3"/>
    <w:rsid w:val="00EF29CB"/>
    <w:rsid w:val="00EF763B"/>
    <w:rsid w:val="00EF76FE"/>
    <w:rsid w:val="00F11332"/>
    <w:rsid w:val="00F16E95"/>
    <w:rsid w:val="00F218AC"/>
    <w:rsid w:val="00F3117A"/>
    <w:rsid w:val="00F34411"/>
    <w:rsid w:val="00F42FE6"/>
    <w:rsid w:val="00F45222"/>
    <w:rsid w:val="00F563A8"/>
    <w:rsid w:val="00F60B3F"/>
    <w:rsid w:val="00F66CEC"/>
    <w:rsid w:val="00F70B90"/>
    <w:rsid w:val="00F70E87"/>
    <w:rsid w:val="00F752D5"/>
    <w:rsid w:val="00F9085C"/>
    <w:rsid w:val="00FB12E6"/>
    <w:rsid w:val="00FB3B15"/>
    <w:rsid w:val="00FB6FC2"/>
    <w:rsid w:val="00FC0210"/>
    <w:rsid w:val="00FC5D5E"/>
    <w:rsid w:val="00FC6A5D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Feb%202019\reporte%20sima%20febrero%202019%20-%20Editado%20Sin%206%20Registros%20Inconsistent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Feb%202019\reporte%20sima%20febrero%202019%20-%20Editado%20Sin%206%20Registros%20Inconsistent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Feb%202019\reporte%20sima%20febrero%202019%20-%20Editado%20Sin%206%20Registros%20Inconsistent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Feb%202019\reporte%20sima%20febrero%202019%20-%20Editado%20Sin%206%20Registros%20Inconsisten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es-CO"/>
        </a:p>
      </c:txPr>
    </c:title>
    <c:autoTitleDeleted val="0"/>
    <c:view3D>
      <c:rotX val="0"/>
      <c:hPercent val="100"/>
      <c:rotY val="0"/>
      <c:depthPercent val="17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41168923329028317"/>
          <c:y val="1.4885699096225412E-2"/>
          <c:w val="0.55102681609243287"/>
          <c:h val="0.942473889328427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'Gráficas &amp; Tablas'!$B$85</c:f>
              <c:strCache>
                <c:ptCount val="1"/>
                <c:pt idx="0">
                  <c:v>CANTIDAD DE CIUDADANOS ATENDIDOS POR DEPENDENCIAS - FEBRERO 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34-46C2-96C0-17FD6B5F32A1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34-46C2-96C0-17FD6B5F32A1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34-46C2-96C0-17FD6B5F32A1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34-46C2-96C0-17FD6B5F32A1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834-46C2-96C0-17FD6B5F32A1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834-46C2-96C0-17FD6B5F32A1}"/>
              </c:ext>
            </c:extLst>
          </c:dPt>
          <c:dLbls>
            <c:dLbl>
              <c:idx val="0"/>
              <c:layout>
                <c:manualLayout>
                  <c:x val="7.05555555555555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34-46C2-96C0-17FD6B5F32A1}"/>
                </c:ext>
              </c:extLst>
            </c:dLbl>
            <c:dLbl>
              <c:idx val="2"/>
              <c:layout>
                <c:manualLayout>
                  <c:x val="5.2916666666667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34-46C2-96C0-17FD6B5F32A1}"/>
                </c:ext>
              </c:extLst>
            </c:dLbl>
            <c:dLbl>
              <c:idx val="3"/>
              <c:layout>
                <c:manualLayout>
                  <c:x val="1.94027777777777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34-46C2-96C0-17FD6B5F32A1}"/>
                </c:ext>
              </c:extLst>
            </c:dLbl>
            <c:dLbl>
              <c:idx val="4"/>
              <c:layout>
                <c:manualLayout>
                  <c:x val="8.819444444444444E-3"/>
                  <c:y val="-4.31167858618277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34-46C2-96C0-17FD6B5F32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Tablas'!$A$86:$A$91</c:f>
              <c:strCache>
                <c:ptCount val="6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DIRECCION DE MEJORAMIENTO DE BARRIOS</c:v>
                </c:pt>
                <c:pt idx="5">
                  <c:v>TOTAL</c:v>
                </c:pt>
              </c:strCache>
            </c:strRef>
          </c:cat>
          <c:val>
            <c:numRef>
              <c:f>'Gráficas &amp; Tablas'!$B$86:$B$91</c:f>
              <c:numCache>
                <c:formatCode>General</c:formatCode>
                <c:ptCount val="6"/>
                <c:pt idx="0">
                  <c:v>820</c:v>
                </c:pt>
                <c:pt idx="1">
                  <c:v>1518</c:v>
                </c:pt>
                <c:pt idx="2">
                  <c:v>762</c:v>
                </c:pt>
                <c:pt idx="3">
                  <c:v>60</c:v>
                </c:pt>
                <c:pt idx="4">
                  <c:v>7</c:v>
                </c:pt>
                <c:pt idx="5">
                  <c:v>3167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834-46C2-96C0-17FD6B5F3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35495168"/>
        <c:axId val="143078464"/>
        <c:axId val="0"/>
      </c:bar3DChart>
      <c:catAx>
        <c:axId val="135495168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 rot="0"/>
          <a:lstStyle/>
          <a:p>
            <a:pPr>
              <a:defRPr sz="800" b="1"/>
            </a:pPr>
            <a:endParaRPr lang="es-CO"/>
          </a:p>
        </c:txPr>
        <c:crossAx val="143078464"/>
        <c:crosses val="autoZero"/>
        <c:auto val="1"/>
        <c:lblAlgn val="ctr"/>
        <c:lblOffset val="100"/>
        <c:noMultiLvlLbl val="0"/>
      </c:catAx>
      <c:valAx>
        <c:axId val="14307846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35495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PORCENTAJE DE CIUDADANOS ATENDIDOS POR DEPENDENCIAS - FEBRERO 2019</a:t>
            </a:r>
          </a:p>
        </c:rich>
      </c:tx>
      <c:overlay val="0"/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'Gráficas &amp; Tablas'!$B$85</c:f>
              <c:strCache>
                <c:ptCount val="1"/>
                <c:pt idx="0">
                  <c:v>CANTIDAD DE CIUDADANOS ATENDIDOS POR DEPENDENCIAS - FEBRERO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23-49A6-99FA-8C99713E38EE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23-49A6-99FA-8C99713E38EE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223-49A6-99FA-8C99713E38EE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223-49A6-99FA-8C99713E38EE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223-49A6-99FA-8C99713E38EE}"/>
              </c:ext>
            </c:extLst>
          </c:dPt>
          <c:dLbls>
            <c:dLbl>
              <c:idx val="0"/>
              <c:layout>
                <c:manualLayout>
                  <c:x val="4.4191921828039556E-2"/>
                  <c:y val="-0.215113387429506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23-49A6-99FA-8C99713E38EE}"/>
                </c:ext>
              </c:extLst>
            </c:dLbl>
            <c:dLbl>
              <c:idx val="1"/>
              <c:layout>
                <c:manualLayout>
                  <c:x val="4.2911817560157731E-2"/>
                  <c:y val="-6.048405954389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23-49A6-99FA-8C99713E38EE}"/>
                </c:ext>
              </c:extLst>
            </c:dLbl>
            <c:dLbl>
              <c:idx val="2"/>
              <c:layout>
                <c:manualLayout>
                  <c:x val="0.28657800166495662"/>
                  <c:y val="2.6363533112069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23-49A6-99FA-8C99713E38EE}"/>
                </c:ext>
              </c:extLst>
            </c:dLbl>
            <c:dLbl>
              <c:idx val="3"/>
              <c:layout>
                <c:manualLayout>
                  <c:x val="9.0151520529200696E-2"/>
                  <c:y val="0.1316955520237071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223-49A6-99FA-8C99713E38EE}"/>
                </c:ext>
              </c:extLst>
            </c:dLbl>
            <c:dLbl>
              <c:idx val="4"/>
              <c:layout>
                <c:manualLayout>
                  <c:x val="0"/>
                  <c:y val="1.25012341261681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223-49A6-99FA-8C99713E38E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'Gráficas &amp; Tablas'!$A$86:$A$90</c:f>
              <c:strCache>
                <c:ptCount val="5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DIRECCION DE MEJORAMIENTO DE BARRIOS</c:v>
                </c:pt>
              </c:strCache>
            </c:strRef>
          </c:cat>
          <c:val>
            <c:numRef>
              <c:f>'Gráficas &amp; Tablas'!$B$86:$B$90</c:f>
              <c:numCache>
                <c:formatCode>General</c:formatCode>
                <c:ptCount val="5"/>
                <c:pt idx="0">
                  <c:v>820</c:v>
                </c:pt>
                <c:pt idx="1">
                  <c:v>1518</c:v>
                </c:pt>
                <c:pt idx="2">
                  <c:v>762</c:v>
                </c:pt>
                <c:pt idx="3">
                  <c:v>60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223-49A6-99FA-8C99713E38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002060">
        <a:alpha val="5000"/>
      </a:srgb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RESULTADO</a:t>
            </a:r>
            <a:r>
              <a:rPr lang="en-US" sz="1200" baseline="0"/>
              <a:t> DE LAS LLAMADAS ENTRANTES</a:t>
            </a:r>
            <a:endParaRPr lang="en-US" sz="1200"/>
          </a:p>
        </c:rich>
      </c:tx>
      <c:layout>
        <c:manualLayout>
          <c:xMode val="edge"/>
          <c:yMode val="edge"/>
          <c:x val="0.25488933564155547"/>
          <c:y val="3.4575791662405833E-2"/>
        </c:manualLayout>
      </c:layout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'Gráficas &amp; Tablas'!$B$79</c:f>
              <c:strCache>
                <c:ptCount val="1"/>
                <c:pt idx="0">
                  <c:v>No. De llamadas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E9B-4E6A-8646-873492675841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E9B-4E6A-8646-873492675841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E9B-4E6A-8646-87349267584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9B-4E6A-8646-873492675841}"/>
                </c:ext>
              </c:extLst>
            </c:dLbl>
            <c:dLbl>
              <c:idx val="1"/>
              <c:layout>
                <c:manualLayout>
                  <c:x val="2.3592853483178295E-3"/>
                  <c:y val="-2.300266772080466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en-US" sz="1200" b="1">
                        <a:solidFill>
                          <a:srgbClr val="FF0000"/>
                        </a:solidFill>
                      </a:rPr>
                      <a:t>0%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9B-4E6A-8646-87349267584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9B-4E6A-8646-87349267584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9B-4E6A-8646-87349267584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Tablas'!$A$80:$A$82</c:f>
              <c:strCache>
                <c:ptCount val="3"/>
                <c:pt idx="0">
                  <c:v>CONTESTADAS</c:v>
                </c:pt>
                <c:pt idx="1">
                  <c:v>NO CONTESTADAS</c:v>
                </c:pt>
                <c:pt idx="2">
                  <c:v>TOTAL</c:v>
                </c:pt>
              </c:strCache>
            </c:strRef>
          </c:cat>
          <c:val>
            <c:numRef>
              <c:f>'Gráficas &amp; Tablas'!$B$80:$B$82</c:f>
              <c:numCache>
                <c:formatCode>General</c:formatCode>
                <c:ptCount val="3"/>
                <c:pt idx="0">
                  <c:v>47</c:v>
                </c:pt>
                <c:pt idx="1">
                  <c:v>0</c:v>
                </c:pt>
                <c:pt idx="2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E9B-4E6A-8646-8734926758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89456640"/>
        <c:axId val="143114240"/>
        <c:axId val="0"/>
      </c:bar3DChart>
      <c:catAx>
        <c:axId val="894566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3114240"/>
        <c:crosses val="autoZero"/>
        <c:auto val="1"/>
        <c:lblAlgn val="ctr"/>
        <c:lblOffset val="100"/>
        <c:noMultiLvlLbl val="0"/>
      </c:catAx>
      <c:valAx>
        <c:axId val="14311424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Frecuencia</a:t>
                </a:r>
              </a:p>
            </c:rich>
          </c:tx>
          <c:layout>
            <c:manualLayout>
              <c:xMode val="edge"/>
              <c:yMode val="edge"/>
              <c:x val="2.1089704212505351E-2"/>
              <c:y val="0.31783345263660223"/>
            </c:manualLayout>
          </c:layout>
          <c:overlay val="0"/>
        </c:title>
        <c:numFmt formatCode="General" sourceLinked="1"/>
        <c:majorTickMark val="cross"/>
        <c:minorTickMark val="none"/>
        <c:tickLblPos val="low"/>
        <c:crossAx val="89456640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 sz="1200"/>
              <a:t>CANAL TELEFÓNICO MES DE FEBRERO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overlay val="0"/>
    </c:title>
    <c:autoTitleDeleted val="0"/>
    <c:view3D>
      <c:rotX val="0"/>
      <c:hPercent val="133"/>
      <c:rotY val="0"/>
      <c:depthPercent val="10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29377716674304599"/>
          <c:y val="5.7876735356101307E-2"/>
          <c:w val="0.68669902373314451"/>
          <c:h val="0.87043126734904797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149-411D-BE77-AD4E1807EC68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49-411D-BE77-AD4E1807EC68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49-411D-BE77-AD4E1807EC68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149-411D-BE77-AD4E1807EC68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149-411D-BE77-AD4E1807EC6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149-411D-BE77-AD4E1807EC68}"/>
              </c:ext>
            </c:extLst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49-411D-BE77-AD4E1807EC68}"/>
                </c:ext>
              </c:extLst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9-411D-BE77-AD4E1807EC68}"/>
                </c:ext>
              </c:extLst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9-411D-BE77-AD4E1807EC68}"/>
                </c:ext>
              </c:extLst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9-411D-BE77-AD4E1807EC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Tablas'!$A$70:$A$73</c:f>
              <c:strCache>
                <c:ptCount val="4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</c:strCache>
            </c:strRef>
          </c:cat>
          <c:val>
            <c:numRef>
              <c:f>'Gráficas &amp; Tablas'!$B$70:$B$73</c:f>
              <c:numCache>
                <c:formatCode>General</c:formatCode>
                <c:ptCount val="4"/>
                <c:pt idx="0">
                  <c:v>15</c:v>
                </c:pt>
                <c:pt idx="1">
                  <c:v>26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149-411D-BE77-AD4E1807E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39644928"/>
        <c:axId val="143115968"/>
        <c:axId val="0"/>
      </c:bar3DChart>
      <c:catAx>
        <c:axId val="139644928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es-CO"/>
          </a:p>
        </c:txPr>
        <c:crossAx val="143115968"/>
        <c:crosses val="autoZero"/>
        <c:auto val="1"/>
        <c:lblAlgn val="ctr"/>
        <c:lblOffset val="100"/>
        <c:noMultiLvlLbl val="0"/>
      </c:catAx>
      <c:valAx>
        <c:axId val="1431159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396449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1399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2017-09-18T15:26:00Z</cp:lastPrinted>
  <dcterms:created xsi:type="dcterms:W3CDTF">2019-03-13T14:39:00Z</dcterms:created>
  <dcterms:modified xsi:type="dcterms:W3CDTF">2019-03-13T14:39:00Z</dcterms:modified>
</cp:coreProperties>
</file>