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18BC" w14:textId="77777777" w:rsidR="00F32DDA" w:rsidRPr="00F2020A" w:rsidRDefault="00F32DDA" w:rsidP="00F32DDA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14:paraId="50E8BA64" w14:textId="77777777" w:rsidR="00F32DDA" w:rsidRPr="00F2020A" w:rsidRDefault="00F32DDA" w:rsidP="00F32DDA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14:paraId="0B435CDB" w14:textId="77777777" w:rsidR="00F32DDA" w:rsidRPr="00F2020A" w:rsidRDefault="00F32DDA" w:rsidP="00F32D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14:paraId="324DFED3" w14:textId="0FB18F04" w:rsidR="00F32DDA" w:rsidRPr="00F2020A" w:rsidRDefault="00DA397C" w:rsidP="00F32DDA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DICIEMBRE</w:t>
      </w:r>
      <w:r w:rsidR="00F32DDA" w:rsidRPr="00F2020A">
        <w:rPr>
          <w:rFonts w:ascii="Arial" w:hAnsi="Arial" w:cs="Arial"/>
          <w:b/>
          <w:sz w:val="24"/>
          <w:szCs w:val="24"/>
        </w:rPr>
        <w:t xml:space="preserve"> DE 201</w:t>
      </w:r>
      <w:r w:rsidR="00F32DDA">
        <w:rPr>
          <w:rFonts w:ascii="Arial" w:hAnsi="Arial" w:cs="Arial"/>
          <w:b/>
          <w:sz w:val="24"/>
          <w:szCs w:val="24"/>
        </w:rPr>
        <w:t>9</w:t>
      </w:r>
    </w:p>
    <w:p w14:paraId="7535A024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b/>
        </w:rPr>
      </w:pPr>
    </w:p>
    <w:p w14:paraId="254D8DD3" w14:textId="77777777" w:rsidR="00F32DDA" w:rsidRPr="00EC26D5" w:rsidRDefault="00F32DDA" w:rsidP="00F32DDA">
      <w:pPr>
        <w:spacing w:after="0" w:line="240" w:lineRule="auto"/>
        <w:jc w:val="center"/>
        <w:rPr>
          <w:rFonts w:ascii="Arial" w:hAnsi="Arial" w:cs="Arial"/>
          <w:b/>
        </w:rPr>
      </w:pPr>
    </w:p>
    <w:p w14:paraId="2B469E29" w14:textId="734F17DC" w:rsidR="00F32DDA" w:rsidRDefault="00F32DDA" w:rsidP="00F32DDA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 w:rsidR="00F20ED3">
        <w:rPr>
          <w:rFonts w:ascii="Arial" w:hAnsi="Arial" w:cs="Arial"/>
          <w:color w:val="808080"/>
          <w:lang w:val="es-ES"/>
        </w:rPr>
        <w:t>31</w:t>
      </w:r>
      <w:r>
        <w:rPr>
          <w:rFonts w:ascii="Arial" w:hAnsi="Arial" w:cs="Arial"/>
          <w:color w:val="808080"/>
          <w:lang w:val="es-ES"/>
        </w:rPr>
        <w:t xml:space="preserve"> de </w:t>
      </w:r>
      <w:r w:rsidR="00F20ED3">
        <w:rPr>
          <w:rFonts w:ascii="Arial" w:hAnsi="Arial" w:cs="Arial"/>
          <w:color w:val="808080"/>
          <w:lang w:val="es-ES"/>
        </w:rPr>
        <w:t>diciembre</w:t>
      </w:r>
      <w:r w:rsidR="00DA397C">
        <w:rPr>
          <w:rFonts w:ascii="Arial" w:hAnsi="Arial" w:cs="Arial"/>
          <w:color w:val="808080"/>
          <w:lang w:val="es-ES"/>
        </w:rPr>
        <w:t xml:space="preserve"> del 20</w:t>
      </w:r>
      <w:r w:rsidR="00F20ED3">
        <w:rPr>
          <w:rFonts w:ascii="Arial" w:hAnsi="Arial" w:cs="Arial"/>
          <w:color w:val="808080"/>
          <w:lang w:val="es-ES"/>
        </w:rPr>
        <w:t>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14:paraId="4F2E61D0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416B3703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492A4EBF" w14:textId="1224D7B8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bookmarkStart w:id="0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 w:rsidR="00F20ED3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</w:t>
      </w:r>
      <w:r w:rsidR="00DA397C">
        <w:rPr>
          <w:rFonts w:ascii="Arial" w:hAnsi="Arial" w:cs="Arial"/>
        </w:rPr>
        <w:t xml:space="preserve">de </w:t>
      </w:r>
      <w:r w:rsidR="00F20ED3">
        <w:rPr>
          <w:rFonts w:ascii="Arial" w:hAnsi="Arial" w:cs="Arial"/>
        </w:rPr>
        <w:t>2019</w:t>
      </w:r>
      <w:bookmarkStart w:id="1" w:name="_GoBack"/>
      <w:bookmarkEnd w:id="1"/>
      <w:r w:rsidRPr="00AC57C0">
        <w:rPr>
          <w:rFonts w:ascii="Arial" w:hAnsi="Arial" w:cs="Arial"/>
        </w:rPr>
        <w:t>.</w:t>
      </w:r>
    </w:p>
    <w:bookmarkEnd w:id="0"/>
    <w:p w14:paraId="771BDB5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2BB60C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14:paraId="697D15B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EB6589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14:paraId="347133D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E34D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9DFA5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9AAF1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3C792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1691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28BA7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85784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637BC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91630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90F18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8F077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1EFD6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EC651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EDC7F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1D2E8F" w14:textId="77777777" w:rsidR="00F32DDA" w:rsidRPr="001439DD" w:rsidRDefault="00F32DDA" w:rsidP="00F32DD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14:paraId="2990305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B9C48E9" w14:textId="1D811EFE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</w:t>
      </w:r>
      <w:r w:rsidR="00DA397C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de </w:t>
      </w:r>
      <w:r w:rsidR="00DA397C">
        <w:rPr>
          <w:rFonts w:ascii="Arial" w:hAnsi="Arial" w:cs="Arial"/>
        </w:rPr>
        <w:t>diciembre</w:t>
      </w:r>
      <w:r>
        <w:rPr>
          <w:rFonts w:ascii="Arial" w:hAnsi="Arial" w:cs="Arial"/>
        </w:rPr>
        <w:t>, se prestó la orientación y el direccionamiento a 2.</w:t>
      </w:r>
      <w:r w:rsidR="00DA397C">
        <w:rPr>
          <w:rFonts w:ascii="Arial" w:hAnsi="Arial" w:cs="Arial"/>
        </w:rPr>
        <w:t>044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</w:t>
      </w:r>
      <w:r w:rsidR="00DA397C">
        <w:rPr>
          <w:rFonts w:ascii="Arial" w:hAnsi="Arial" w:cs="Arial"/>
        </w:rPr>
        <w:t xml:space="preserve">97 </w:t>
      </w:r>
      <w:r>
        <w:rPr>
          <w:rFonts w:ascii="Arial" w:hAnsi="Arial" w:cs="Arial"/>
        </w:rPr>
        <w:t xml:space="preserve">ciudadanos. </w:t>
      </w:r>
    </w:p>
    <w:p w14:paraId="55A5E66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854D31" w14:textId="3E25BFEC" w:rsidR="00F32DDA" w:rsidRDefault="005B3292" w:rsidP="00F32D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49409BEC" wp14:editId="4EAA88BF">
            <wp:extent cx="5257801" cy="3538538"/>
            <wp:effectExtent l="0" t="0" r="19050" b="2413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EF451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14:paraId="523A599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238C1F0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18FC861" w14:textId="1A27F619" w:rsidR="00F32DDA" w:rsidRPr="001079BC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 w:rsidR="00170306">
        <w:rPr>
          <w:rFonts w:ascii="Arial" w:hAnsi="Arial" w:cs="Arial"/>
        </w:rPr>
        <w:t>diciembre</w:t>
      </w:r>
      <w:r w:rsidRPr="00495294">
        <w:rPr>
          <w:rFonts w:ascii="Arial" w:hAnsi="Arial" w:cs="Arial"/>
        </w:rPr>
        <w:t xml:space="preserve"> a la Caja de la Vivienda Popular se distribuyó así: </w:t>
      </w:r>
      <w:r w:rsidR="005B3292">
        <w:rPr>
          <w:rFonts w:ascii="Arial" w:hAnsi="Arial" w:cs="Arial"/>
        </w:rPr>
        <w:t>64</w:t>
      </w:r>
      <w:r w:rsidRPr="00495294">
        <w:rPr>
          <w:rFonts w:ascii="Arial" w:hAnsi="Arial" w:cs="Arial"/>
        </w:rPr>
        <w:t>,</w:t>
      </w:r>
      <w:r w:rsidR="005B3292">
        <w:rPr>
          <w:rFonts w:ascii="Arial" w:hAnsi="Arial" w:cs="Arial"/>
        </w:rPr>
        <w:t>19</w:t>
      </w:r>
      <w:r w:rsidRPr="00495294">
        <w:rPr>
          <w:rFonts w:ascii="Arial" w:hAnsi="Arial" w:cs="Arial"/>
        </w:rPr>
        <w:t xml:space="preserve">% para la Dirección de Reasentamientos Humanos, </w:t>
      </w:r>
      <w:r w:rsidR="005B3292">
        <w:rPr>
          <w:rFonts w:ascii="Arial" w:hAnsi="Arial" w:cs="Arial"/>
        </w:rPr>
        <w:t>21</w:t>
      </w:r>
      <w:r w:rsidRPr="00495294">
        <w:rPr>
          <w:rFonts w:ascii="Arial" w:hAnsi="Arial" w:cs="Arial"/>
        </w:rPr>
        <w:t>,</w:t>
      </w:r>
      <w:r w:rsidR="005B3292">
        <w:rPr>
          <w:rFonts w:ascii="Arial" w:hAnsi="Arial" w:cs="Arial"/>
        </w:rPr>
        <w:t>53</w:t>
      </w:r>
      <w:r w:rsidRPr="00495294">
        <w:rPr>
          <w:rFonts w:ascii="Arial" w:hAnsi="Arial" w:cs="Arial"/>
        </w:rPr>
        <w:t>% para la Dirección de</w:t>
      </w:r>
      <w:r>
        <w:rPr>
          <w:rFonts w:ascii="Arial" w:hAnsi="Arial" w:cs="Arial"/>
        </w:rPr>
        <w:t xml:space="preserve"> Urbanización y Titulación</w:t>
      </w:r>
      <w:r w:rsidRPr="00495294">
        <w:rPr>
          <w:rFonts w:ascii="Arial" w:hAnsi="Arial" w:cs="Arial"/>
        </w:rPr>
        <w:t xml:space="preserve"> y un </w:t>
      </w:r>
      <w:r w:rsidR="005B3292">
        <w:rPr>
          <w:rFonts w:ascii="Arial" w:hAnsi="Arial" w:cs="Arial"/>
        </w:rPr>
        <w:t>12</w:t>
      </w:r>
      <w:r w:rsidRPr="00495294">
        <w:rPr>
          <w:rFonts w:ascii="Arial" w:hAnsi="Arial" w:cs="Arial"/>
        </w:rPr>
        <w:t>,</w:t>
      </w:r>
      <w:r w:rsidR="005B3292">
        <w:rPr>
          <w:rFonts w:ascii="Arial" w:hAnsi="Arial" w:cs="Arial"/>
        </w:rPr>
        <w:t>43</w:t>
      </w:r>
      <w:r w:rsidRPr="00495294">
        <w:rPr>
          <w:rFonts w:ascii="Arial" w:hAnsi="Arial" w:cs="Arial"/>
        </w:rPr>
        <w:t>% para la</w:t>
      </w:r>
      <w:r>
        <w:rPr>
          <w:rFonts w:ascii="Arial" w:hAnsi="Arial" w:cs="Arial"/>
        </w:rPr>
        <w:t xml:space="preserve"> Dirección de </w:t>
      </w:r>
      <w:r w:rsidRPr="00495294">
        <w:rPr>
          <w:rFonts w:ascii="Arial" w:hAnsi="Arial" w:cs="Arial"/>
        </w:rPr>
        <w:t xml:space="preserve">Mejoramiento de Vivienda; siendo estas las áreas o dependencias de mayor demanda de atención con </w:t>
      </w:r>
      <w:r>
        <w:rPr>
          <w:rFonts w:ascii="Arial" w:hAnsi="Arial" w:cs="Arial"/>
        </w:rPr>
        <w:t>2</w:t>
      </w:r>
      <w:r w:rsidRPr="00495294">
        <w:rPr>
          <w:rFonts w:ascii="Arial" w:hAnsi="Arial" w:cs="Arial"/>
        </w:rPr>
        <w:t>.</w:t>
      </w:r>
      <w:r w:rsidR="007D37A9">
        <w:rPr>
          <w:rFonts w:ascii="Arial" w:hAnsi="Arial" w:cs="Arial"/>
        </w:rPr>
        <w:t>006</w:t>
      </w:r>
      <w:r w:rsidRPr="00495294">
        <w:rPr>
          <w:rFonts w:ascii="Arial" w:hAnsi="Arial" w:cs="Arial"/>
        </w:rPr>
        <w:t xml:space="preserve"> asistentes a la entidad.</w:t>
      </w:r>
    </w:p>
    <w:p w14:paraId="140713D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</w:p>
    <w:p w14:paraId="6E9120CE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12A2B5F" wp14:editId="70EAEE51">
            <wp:extent cx="5612130" cy="4235450"/>
            <wp:effectExtent l="0" t="0" r="26670" b="1270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A468C9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14:paraId="4E54BAD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239193F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22E54E5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1FBCFAD" w14:textId="77777777" w:rsidR="00F32DDA" w:rsidRPr="004A6881" w:rsidRDefault="00F32DDA" w:rsidP="00F32DDA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14:paraId="445AF8C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1072829" w14:textId="77777777" w:rsidR="00F32DDA" w:rsidRPr="004A6881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14:paraId="3A9C916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2381D9AE" w14:textId="5F66F321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</w:t>
      </w:r>
      <w:r w:rsidR="007D37A9">
        <w:rPr>
          <w:rFonts w:ascii="Arial" w:hAnsi="Arial" w:cs="Arial"/>
        </w:rPr>
        <w:t>312</w:t>
      </w:r>
      <w:r w:rsidRPr="001079BC">
        <w:rPr>
          <w:rFonts w:ascii="Arial" w:hAnsi="Arial" w:cs="Arial"/>
        </w:rPr>
        <w:t xml:space="preserve"> ciudadanos, lo que representa el </w:t>
      </w:r>
      <w:r w:rsidR="007D37A9">
        <w:rPr>
          <w:rFonts w:ascii="Arial" w:hAnsi="Arial" w:cs="Arial"/>
        </w:rPr>
        <w:t>64</w:t>
      </w:r>
      <w:r>
        <w:rPr>
          <w:rFonts w:ascii="Arial" w:hAnsi="Arial" w:cs="Arial"/>
        </w:rPr>
        <w:t>,</w:t>
      </w:r>
      <w:r w:rsidR="007D37A9">
        <w:rPr>
          <w:rFonts w:ascii="Arial" w:hAnsi="Arial" w:cs="Arial"/>
        </w:rPr>
        <w:t>1</w:t>
      </w:r>
      <w:r>
        <w:rPr>
          <w:rFonts w:ascii="Arial" w:hAnsi="Arial" w:cs="Arial"/>
        </w:rPr>
        <w:t>9%</w:t>
      </w:r>
      <w:r w:rsidRPr="001079BC">
        <w:rPr>
          <w:rFonts w:ascii="Arial" w:hAnsi="Arial" w:cs="Arial"/>
        </w:rPr>
        <w:t xml:space="preserve"> del total de asistentes a la entidad en </w:t>
      </w:r>
      <w:r w:rsidR="007D37A9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. </w:t>
      </w:r>
      <w:r w:rsidRPr="00A85088">
        <w:rPr>
          <w:rFonts w:ascii="Arial" w:hAnsi="Arial" w:cs="Arial"/>
        </w:rPr>
        <w:t xml:space="preserve">De los anteriores asistentes a esta dependencia, el </w:t>
      </w:r>
      <w:r w:rsidR="00A85088" w:rsidRPr="00A85088">
        <w:rPr>
          <w:rFonts w:ascii="Arial" w:hAnsi="Arial" w:cs="Arial"/>
        </w:rPr>
        <w:t>61</w:t>
      </w:r>
      <w:r w:rsidRPr="00A85088">
        <w:rPr>
          <w:rFonts w:ascii="Arial" w:hAnsi="Arial" w:cs="Arial"/>
        </w:rPr>
        <w:t>,</w:t>
      </w:r>
      <w:r w:rsidR="00A85088" w:rsidRPr="00A85088">
        <w:rPr>
          <w:rFonts w:ascii="Arial" w:hAnsi="Arial" w:cs="Arial"/>
        </w:rPr>
        <w:t>59</w:t>
      </w:r>
      <w:r w:rsidRPr="00A85088">
        <w:rPr>
          <w:rFonts w:ascii="Arial" w:hAnsi="Arial" w:cs="Arial"/>
        </w:rPr>
        <w:t>% (</w:t>
      </w:r>
      <w:r w:rsidR="00A85088" w:rsidRPr="00A85088">
        <w:rPr>
          <w:rFonts w:ascii="Arial" w:hAnsi="Arial" w:cs="Arial"/>
        </w:rPr>
        <w:t>808</w:t>
      </w:r>
      <w:r w:rsidRPr="00A85088">
        <w:rPr>
          <w:rFonts w:ascii="Arial" w:hAnsi="Arial" w:cs="Arial"/>
        </w:rPr>
        <w:t>) se acercó para indagar por el estado de su proceso.</w:t>
      </w:r>
    </w:p>
    <w:p w14:paraId="4788BED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40DA3F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A57B8C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258B52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29C98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E24C9F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3048"/>
        <w:gridCol w:w="2126"/>
      </w:tblGrid>
      <w:tr w:rsidR="00F32DDA" w:rsidRPr="007436FD" w14:paraId="6F345FFB" w14:textId="77777777" w:rsidTr="005E468E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3463AEC4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DIRECCIÓN DE REASENTAMIENTOS HUMANOS</w:t>
            </w:r>
          </w:p>
        </w:tc>
      </w:tr>
      <w:tr w:rsidR="00F32DDA" w:rsidRPr="007436FD" w14:paraId="2BADB467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75304AA" w14:textId="19286506" w:rsidR="00F32DDA" w:rsidRPr="007436FD" w:rsidRDefault="00C646C5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 w:rsidRPr="007436FD">
              <w:rPr>
                <w:rFonts w:eastAsia="Times New Roman"/>
                <w:b/>
                <w:bCs/>
                <w:lang w:eastAsia="es-CO"/>
              </w:rPr>
              <w:t xml:space="preserve"> O SERVICIO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56E6B79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6C1CE5E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7436FD" w14:paraId="68F98569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1EE9E46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ESTADO DEL PROCESO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A3AA883" w14:textId="6EBAAA07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375F9590" w14:textId="46C782DC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61,59%</w:t>
            </w:r>
          </w:p>
        </w:tc>
      </w:tr>
      <w:tr w:rsidR="00F32DDA" w:rsidRPr="007436FD" w14:paraId="7F5D8091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77FEDA7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RADICIACIÓN CONTRATO DE ARRIENDO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11CCF7B6" w14:textId="359F2BE0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7F47C500" w14:textId="21C7BCC9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28,35%</w:t>
            </w:r>
          </w:p>
        </w:tc>
      </w:tr>
      <w:tr w:rsidR="00F32DDA" w:rsidRPr="007436FD" w14:paraId="13BBBC55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11A2659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INGRESO AL PROGRAMA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233DFEEC" w14:textId="76DAA7E1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1C696E5E" w14:textId="4121A03F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3,66</w:t>
            </w:r>
            <w:r w:rsidR="00A85088">
              <w:rPr>
                <w:rFonts w:eastAsia="Times New Roman"/>
                <w:color w:val="000000"/>
                <w:lang w:eastAsia="es-CO"/>
              </w:rPr>
              <w:t>%</w:t>
            </w:r>
          </w:p>
        </w:tc>
      </w:tr>
      <w:tr w:rsidR="00F32DDA" w:rsidRPr="007436FD" w14:paraId="67101C16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434B47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14FCEE50" w14:textId="3662FE3A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464F30CE" w14:textId="420D5632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2,13%</w:t>
            </w:r>
          </w:p>
        </w:tc>
      </w:tr>
      <w:tr w:rsidR="00F32DDA" w:rsidRPr="007436FD" w14:paraId="0F78A8D2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0125C3E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DESEMBOLSO DE MEJORAS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0B69B814" w14:textId="4126C927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71C78CFD" w14:textId="14B096AE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2,13%</w:t>
            </w:r>
          </w:p>
        </w:tc>
      </w:tr>
      <w:tr w:rsidR="00F32DDA" w:rsidRPr="007436FD" w14:paraId="441AC619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2F12AC7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SELECCIÓN DE VIVIENDA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1902C766" w14:textId="0F850F6A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1AA842E3" w14:textId="559154DF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0,99%</w:t>
            </w:r>
          </w:p>
        </w:tc>
      </w:tr>
      <w:tr w:rsidR="00F32DDA" w:rsidRPr="007436FD" w14:paraId="3D59D9B6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22E796F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ENTREGA VIVIENDA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5BF574AF" w14:textId="07FFAE9E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728A43D9" w14:textId="4371C9AD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0,30%</w:t>
            </w:r>
          </w:p>
        </w:tc>
      </w:tr>
      <w:tr w:rsidR="00F32DDA" w:rsidRPr="007436FD" w14:paraId="665D543E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9DF2B3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NEGOCIACIÓN VIVIENDA USADA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418A9069" w14:textId="3D6763B1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7BD2F065" w14:textId="7F52C371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0,08%</w:t>
            </w:r>
          </w:p>
        </w:tc>
      </w:tr>
      <w:tr w:rsidR="00F32DDA" w:rsidRPr="007436FD" w14:paraId="009A9381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575AA9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NOTIFICACION DE RESOLUCION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2E1F0594" w14:textId="42684801" w:rsidR="00F32DDA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7725CF9C" w14:textId="2520BED6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0,46%</w:t>
            </w:r>
          </w:p>
        </w:tc>
      </w:tr>
      <w:tr w:rsidR="007D37A9" w:rsidRPr="007436FD" w14:paraId="60EAE938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46252B90" w14:textId="2F01F95D" w:rsidR="007D37A9" w:rsidRPr="007436FD" w:rsidRDefault="007D37A9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RESPUESTA RADICADO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1B04FCE5" w14:textId="79C82D76" w:rsidR="007D37A9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29669EE8" w14:textId="7445EA16" w:rsidR="007D37A9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0,23%</w:t>
            </w:r>
          </w:p>
        </w:tc>
      </w:tr>
      <w:tr w:rsidR="007D37A9" w:rsidRPr="007436FD" w14:paraId="2B40FF0A" w14:textId="77777777" w:rsidTr="007D37A9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74968A4E" w14:textId="4197997F" w:rsidR="007D37A9" w:rsidRPr="007436FD" w:rsidRDefault="007D37A9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CERTIFICADO DE VINCULACIÓN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4E44D011" w14:textId="6FE862E4" w:rsidR="007D37A9" w:rsidRPr="007436FD" w:rsidRDefault="007D37A9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40EEFBDC" w14:textId="39323FBC" w:rsidR="007D37A9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0,08</w:t>
            </w:r>
          </w:p>
        </w:tc>
      </w:tr>
      <w:tr w:rsidR="00F32DDA" w:rsidRPr="007436FD" w14:paraId="23326080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5196AD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B24B609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A686D35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5EACC499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4FF00F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65D4E656" w14:textId="77777777" w:rsidR="00F32DDA" w:rsidRDefault="00F32DDA" w:rsidP="00F32DDA">
      <w:pPr>
        <w:spacing w:after="0" w:line="240" w:lineRule="auto"/>
        <w:rPr>
          <w:rFonts w:ascii="Arial" w:hAnsi="Arial" w:cs="Arial"/>
          <w:b/>
          <w:u w:val="single"/>
        </w:rPr>
      </w:pPr>
    </w:p>
    <w:p w14:paraId="33954C95" w14:textId="77777777" w:rsidR="00F32DDA" w:rsidRPr="001026C4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14:paraId="01A7B3B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9A6472E" w14:textId="4E1B98CC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 w:rsidR="00A85088">
        <w:rPr>
          <w:rFonts w:ascii="Arial" w:hAnsi="Arial" w:cs="Arial"/>
        </w:rPr>
        <w:t>440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="00A85088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A85088">
        <w:rPr>
          <w:rFonts w:ascii="Arial" w:hAnsi="Arial" w:cs="Arial"/>
        </w:rPr>
        <w:t>53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 xml:space="preserve">, de los cuales la gran mayoría, es decir </w:t>
      </w:r>
      <w:r w:rsidR="00A85088">
        <w:rPr>
          <w:rFonts w:ascii="Arial" w:hAnsi="Arial" w:cs="Arial"/>
        </w:rPr>
        <w:t>408</w:t>
      </w:r>
      <w:r w:rsidRPr="001079BC">
        <w:rPr>
          <w:rFonts w:ascii="Arial" w:hAnsi="Arial" w:cs="Arial"/>
        </w:rPr>
        <w:t xml:space="preserve"> (</w:t>
      </w:r>
      <w:r w:rsidR="00A85088">
        <w:rPr>
          <w:rFonts w:ascii="Arial" w:hAnsi="Arial" w:cs="Arial"/>
        </w:rPr>
        <w:t>92</w:t>
      </w:r>
      <w:r>
        <w:rPr>
          <w:rFonts w:ascii="Arial" w:hAnsi="Arial" w:cs="Arial"/>
        </w:rPr>
        <w:t>,</w:t>
      </w:r>
      <w:r w:rsidR="00A85088">
        <w:rPr>
          <w:rFonts w:ascii="Arial" w:hAnsi="Arial" w:cs="Arial"/>
        </w:rPr>
        <w:t>73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985"/>
        <w:gridCol w:w="1928"/>
      </w:tblGrid>
      <w:tr w:rsidR="00F32DDA" w:rsidRPr="007436FD" w14:paraId="381CECB9" w14:textId="77777777" w:rsidTr="005E468E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B055F12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DIRECCIÓN DE URBANIZACIONES Y TITULACIÓN</w:t>
            </w:r>
          </w:p>
        </w:tc>
      </w:tr>
      <w:tr w:rsidR="00F32DDA" w:rsidRPr="007436FD" w14:paraId="252596DC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8B259B9" w14:textId="2807460B" w:rsidR="00F32DDA" w:rsidRPr="007436FD" w:rsidRDefault="00C646C5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 w:rsidRPr="007436FD">
              <w:rPr>
                <w:rFonts w:eastAsia="Times New Roman"/>
                <w:b/>
                <w:bCs/>
                <w:lang w:eastAsia="es-CO"/>
              </w:rPr>
              <w:t xml:space="preserve"> O SERVICIO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D28EE9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2654FAC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7436FD" w14:paraId="1A45963A" w14:textId="77777777" w:rsidTr="00A8508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E194559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INFORMACION GENERAL SOBRE EL PROCESO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A862F7E" w14:textId="687099ED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408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28D8A52E" w14:textId="46B1446A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92,73%</w:t>
            </w:r>
          </w:p>
        </w:tc>
      </w:tr>
      <w:tr w:rsidR="00F32DDA" w:rsidRPr="007436FD" w14:paraId="4CA0E0F6" w14:textId="77777777" w:rsidTr="00A8508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AA0F19A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SOLICITAR LA ESCRITURACION POR PRIMERA VEZ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0B61AC8A" w14:textId="12D48283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3D24ECE5" w14:textId="5E56E58D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5,91%</w:t>
            </w:r>
          </w:p>
        </w:tc>
      </w:tr>
      <w:tr w:rsidR="00F32DDA" w:rsidRPr="007436FD" w14:paraId="78C0FF6A" w14:textId="77777777" w:rsidTr="00A8508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2E31A0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RADICACION DE CANCELACION DE HIPOTECA Y CONDICIONES RESOLUTORIAS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6D6B5902" w14:textId="7426D940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</w:tcPr>
          <w:p w14:paraId="4A429E55" w14:textId="199A6975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1,36%</w:t>
            </w:r>
          </w:p>
        </w:tc>
      </w:tr>
      <w:tr w:rsidR="00F32DDA" w:rsidRPr="007436FD" w14:paraId="59BBC5FB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F136BD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71DB58E" w14:textId="4A845600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440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59CAF23C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13A71464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0BC5EA8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42C2878B" w14:textId="77777777" w:rsidR="00F32DDA" w:rsidRDefault="00F32DDA" w:rsidP="00F32DDA">
      <w:pPr>
        <w:spacing w:after="0" w:line="240" w:lineRule="auto"/>
        <w:rPr>
          <w:rFonts w:ascii="Arial" w:hAnsi="Arial" w:cs="Arial"/>
          <w:b/>
          <w:u w:val="single"/>
        </w:rPr>
      </w:pPr>
    </w:p>
    <w:p w14:paraId="3BD6C52D" w14:textId="77777777" w:rsidR="00F32DDA" w:rsidRPr="00A250B4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14:paraId="3957157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CDFEA1F" w14:textId="431CDD1A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430</w:t>
      </w:r>
      <w:r w:rsidRPr="001079BC">
        <w:rPr>
          <w:rFonts w:ascii="Arial" w:hAnsi="Arial" w:cs="Arial"/>
        </w:rPr>
        <w:t xml:space="preserve"> ciudadanos, que representan el </w:t>
      </w:r>
      <w:r w:rsidR="00A85088">
        <w:rPr>
          <w:rFonts w:ascii="Arial" w:hAnsi="Arial" w:cs="Arial"/>
        </w:rPr>
        <w:t>12,43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 xml:space="preserve">e se acercaron a la CVP durante </w:t>
      </w:r>
      <w:r w:rsidR="00A85088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 w:rsidR="00A85088">
        <w:rPr>
          <w:rFonts w:ascii="Arial" w:hAnsi="Arial" w:cs="Arial"/>
        </w:rPr>
        <w:t>80</w:t>
      </w:r>
      <w:r>
        <w:rPr>
          <w:rFonts w:ascii="Arial" w:hAnsi="Arial" w:cs="Arial"/>
        </w:rPr>
        <w:t>,</w:t>
      </w:r>
      <w:r w:rsidR="00A85088">
        <w:rPr>
          <w:rFonts w:ascii="Arial" w:hAnsi="Arial" w:cs="Arial"/>
        </w:rPr>
        <w:t>71</w:t>
      </w:r>
      <w:r w:rsidRPr="001079BC">
        <w:rPr>
          <w:rFonts w:ascii="Arial" w:hAnsi="Arial" w:cs="Arial"/>
        </w:rPr>
        <w:t xml:space="preserve">% </w:t>
      </w:r>
      <w:r w:rsidRPr="001079BC">
        <w:rPr>
          <w:rFonts w:ascii="Arial" w:hAnsi="Arial" w:cs="Arial"/>
        </w:rPr>
        <w:lastRenderedPageBreak/>
        <w:t>(</w:t>
      </w:r>
      <w:r w:rsidR="00EE23DA">
        <w:rPr>
          <w:rFonts w:ascii="Arial" w:hAnsi="Arial" w:cs="Arial"/>
        </w:rPr>
        <w:t>205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</w:t>
      </w:r>
      <w:r w:rsidR="00A85088">
        <w:rPr>
          <w:rFonts w:ascii="Arial" w:hAnsi="Arial" w:cs="Arial"/>
        </w:rPr>
        <w:t>1</w:t>
      </w:r>
      <w:r w:rsidR="00EE23D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  <w:r w:rsidR="00EE23DA">
        <w:rPr>
          <w:rFonts w:ascii="Arial" w:hAnsi="Arial" w:cs="Arial"/>
        </w:rPr>
        <w:t>29</w:t>
      </w:r>
      <w:r>
        <w:rPr>
          <w:rFonts w:ascii="Arial" w:hAnsi="Arial" w:cs="Arial"/>
        </w:rPr>
        <w:t>% de los usuarios, se acercaron a la Entidad con el fin de solicitar asistencia técnica para la obtención de licencias de construcción o actos de reconocimiento de edificaciones.</w:t>
      </w:r>
    </w:p>
    <w:p w14:paraId="15258A52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C38243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0D1FCD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694"/>
        <w:gridCol w:w="2126"/>
      </w:tblGrid>
      <w:tr w:rsidR="00F32DDA" w:rsidRPr="007436FD" w14:paraId="4A6BA563" w14:textId="77777777" w:rsidTr="005E468E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2DD9A0C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DIRECCIÓN DE MEJORAMIENTO DE VIVIENDA</w:t>
            </w:r>
          </w:p>
        </w:tc>
      </w:tr>
      <w:tr w:rsidR="00F32DDA" w:rsidRPr="007436FD" w14:paraId="22DC2648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EB49771" w14:textId="4315B10E" w:rsidR="00F32DDA" w:rsidRPr="007436FD" w:rsidRDefault="00F32DDA" w:rsidP="00C6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 w:rsidR="00C646C5"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 O SERVICIO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12280A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3AF304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7436FD" w14:paraId="5E0B90DC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2B54FD3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INFORMACION GENERAL DE MEJORAMIENTO DE VIVIENDA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0C45048" w14:textId="6C66C4F7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648B318" w14:textId="03E9478B" w:rsidR="00F32DDA" w:rsidRPr="007436FD" w:rsidRDefault="00A85088" w:rsidP="00A850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80</w:t>
            </w:r>
            <w:r w:rsidR="00F32DDA" w:rsidRPr="007436FD">
              <w:rPr>
                <w:rFonts w:eastAsia="Times New Roman"/>
                <w:color w:val="000000"/>
                <w:lang w:eastAsia="es-CO"/>
              </w:rPr>
              <w:t>,</w:t>
            </w:r>
            <w:r>
              <w:rPr>
                <w:rFonts w:eastAsia="Times New Roman"/>
                <w:color w:val="000000"/>
                <w:lang w:eastAsia="es-CO"/>
              </w:rPr>
              <w:t>71</w:t>
            </w:r>
            <w:r w:rsidR="00F32DDA" w:rsidRPr="007436FD">
              <w:rPr>
                <w:rFonts w:eastAsia="Times New Roman"/>
                <w:color w:val="000000"/>
                <w:lang w:eastAsia="es-CO"/>
              </w:rPr>
              <w:t>%</w:t>
            </w:r>
          </w:p>
        </w:tc>
      </w:tr>
      <w:tr w:rsidR="00F32DDA" w:rsidRPr="007436FD" w14:paraId="7AFF1958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CC12C8C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ASISTENCIA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9D6F4E4" w14:textId="094235DB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667D9662" w14:textId="62E224E5" w:rsidR="00F32DDA" w:rsidRPr="007436FD" w:rsidRDefault="00A85088" w:rsidP="00A850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19</w:t>
            </w:r>
            <w:r w:rsidR="00F32DDA" w:rsidRPr="007436FD">
              <w:rPr>
                <w:rFonts w:eastAsia="Times New Roman"/>
                <w:color w:val="000000"/>
                <w:lang w:eastAsia="es-CO"/>
              </w:rPr>
              <w:t>,</w:t>
            </w:r>
            <w:r>
              <w:rPr>
                <w:rFonts w:eastAsia="Times New Roman"/>
                <w:color w:val="000000"/>
                <w:lang w:eastAsia="es-CO"/>
              </w:rPr>
              <w:t>29</w:t>
            </w:r>
            <w:r w:rsidR="00F32DDA" w:rsidRPr="007436FD">
              <w:rPr>
                <w:rFonts w:eastAsia="Times New Roman"/>
                <w:color w:val="000000"/>
                <w:lang w:eastAsia="es-CO"/>
              </w:rPr>
              <w:t>%</w:t>
            </w:r>
          </w:p>
        </w:tc>
      </w:tr>
      <w:tr w:rsidR="00F32DDA" w:rsidRPr="007436FD" w14:paraId="03975409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277C4CD1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669BAD8A" w14:textId="2011FEEC" w:rsidR="00F32DDA" w:rsidRPr="007436FD" w:rsidRDefault="00A85088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D5D6923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5F7F9B89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3D7EAE7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3FF6C618" w14:textId="77777777" w:rsidR="00F32DDA" w:rsidRDefault="00F32DDA" w:rsidP="00F32DD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791A6487" w14:textId="77777777" w:rsidR="00F32DDA" w:rsidRPr="000B04ED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14:paraId="048F78C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F18DC6F" w14:textId="1B54EF86" w:rsidR="00F32DDA" w:rsidRDefault="00F32DDA" w:rsidP="00F32DDA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el mes de </w:t>
      </w:r>
      <w:r w:rsidR="00EE23DA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 xml:space="preserve">eron </w:t>
      </w:r>
      <w:r w:rsidR="00EE23D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Dichos ciudadanos se remitieron a la Dirección de Mejoramiento de Barrios para ampliación de información.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3190"/>
        <w:gridCol w:w="1701"/>
      </w:tblGrid>
      <w:tr w:rsidR="00F32DDA" w:rsidRPr="00862A0C" w14:paraId="2AA9ACE5" w14:textId="77777777" w:rsidTr="005E468E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7CD5103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DIRECCION DE MEJORAMIENTO DE BARRIOS</w:t>
            </w:r>
          </w:p>
        </w:tc>
      </w:tr>
      <w:tr w:rsidR="00F32DDA" w:rsidRPr="00862A0C" w14:paraId="422179CC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A5A87A3" w14:textId="6636B11C" w:rsidR="00F32DDA" w:rsidRPr="00862A0C" w:rsidRDefault="00C646C5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 w:rsidRPr="00862A0C">
              <w:rPr>
                <w:rFonts w:eastAsia="Times New Roman"/>
                <w:b/>
                <w:bCs/>
                <w:lang w:eastAsia="es-CO"/>
              </w:rPr>
              <w:t xml:space="preserve"> O SERVICIO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0E1245C5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6E0B49F7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862A0C" w14:paraId="618FA27C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94A64B3" w14:textId="77777777" w:rsidR="00F32DDA" w:rsidRPr="00862A0C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862A0C">
              <w:rPr>
                <w:rFonts w:eastAsia="Times New Roman"/>
                <w:color w:val="000000"/>
                <w:lang w:eastAsia="es-CO"/>
              </w:rPr>
              <w:t>INFORMACION GENERAL SOBRE EL PROCESO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605D57B" w14:textId="50AE766A" w:rsidR="00F32DDA" w:rsidRPr="00862A0C" w:rsidRDefault="00EE23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8DBC133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62A0C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F32DDA" w:rsidRPr="00862A0C" w14:paraId="6E84E47E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5E594A88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228D3B4B" w14:textId="6806DFF3" w:rsidR="00F32DDA" w:rsidRPr="00862A0C" w:rsidRDefault="00EE23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F2877B4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7B3EA723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D9EE32D" w14:textId="77777777" w:rsidR="00F32DDA" w:rsidRDefault="00F32DDA" w:rsidP="00F32DDA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437DF9C2" w14:textId="77777777" w:rsidR="00F32DDA" w:rsidRDefault="00F32DDA" w:rsidP="00F32DD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2E35B19" w14:textId="77777777" w:rsidR="00F32DDA" w:rsidRPr="00E56F1D" w:rsidRDefault="00F32DDA" w:rsidP="00F32DDA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14:paraId="772A9CD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38CF6D8C" w14:textId="5D099470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 w:rsidR="00EE23DA">
        <w:rPr>
          <w:rFonts w:ascii="Arial" w:hAnsi="Arial" w:cs="Arial"/>
        </w:rPr>
        <w:t xml:space="preserve">30 </w:t>
      </w:r>
      <w:r w:rsidRPr="001079BC">
        <w:rPr>
          <w:rFonts w:ascii="Arial" w:hAnsi="Arial" w:cs="Arial"/>
        </w:rPr>
        <w:t xml:space="preserve">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1,</w:t>
      </w:r>
      <w:r w:rsidR="00EE23DA">
        <w:rPr>
          <w:rFonts w:ascii="Arial" w:hAnsi="Arial" w:cs="Arial"/>
        </w:rPr>
        <w:t>47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 xml:space="preserve">ciudadanos atendidos en el mes de </w:t>
      </w:r>
      <w:r w:rsidR="00EE23DA">
        <w:rPr>
          <w:rFonts w:ascii="Arial" w:hAnsi="Arial" w:cs="Arial"/>
        </w:rPr>
        <w:t xml:space="preserve">diciembre </w:t>
      </w:r>
      <w:r>
        <w:rPr>
          <w:rFonts w:ascii="Arial" w:hAnsi="Arial" w:cs="Arial"/>
        </w:rPr>
        <w:t>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1</w:t>
      </w:r>
      <w:r w:rsidR="00EE23DA">
        <w:rPr>
          <w:rFonts w:ascii="Arial" w:hAnsi="Arial" w:cs="Arial"/>
        </w:rPr>
        <w:t>4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</w:t>
      </w:r>
      <w:r w:rsidR="00EE23DA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EE23DA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%), acudieron a suscribir acuerdos de pago, </w:t>
      </w:r>
      <w:r w:rsidR="00EE23D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</w:t>
      </w:r>
      <w:r w:rsidR="00EE23D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0,00%) se acercaron para expedición de paz y salvos, </w:t>
      </w:r>
      <w:r w:rsidR="00EE23D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(20,00%) se acercaron para solicitar la impresión y entrega de talonarios con r</w:t>
      </w:r>
      <w:r w:rsidR="00EE23DA">
        <w:rPr>
          <w:rFonts w:ascii="Arial" w:hAnsi="Arial" w:cs="Arial"/>
        </w:rPr>
        <w:t>ecibos de pago de la obligación y</w:t>
      </w:r>
      <w:r>
        <w:rPr>
          <w:rFonts w:ascii="Arial" w:hAnsi="Arial" w:cs="Arial"/>
        </w:rPr>
        <w:t xml:space="preserve"> </w:t>
      </w:r>
      <w:r w:rsidR="00EE23D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(</w:t>
      </w:r>
      <w:r w:rsidR="00EE23DA">
        <w:rPr>
          <w:rFonts w:ascii="Arial" w:hAnsi="Arial" w:cs="Arial"/>
        </w:rPr>
        <w:t>23</w:t>
      </w:r>
      <w:r>
        <w:rPr>
          <w:rFonts w:ascii="Arial" w:hAnsi="Arial" w:cs="Arial"/>
        </w:rPr>
        <w:t>,</w:t>
      </w:r>
      <w:r w:rsidR="00EE23DA">
        <w:rPr>
          <w:rFonts w:ascii="Arial" w:hAnsi="Arial" w:cs="Arial"/>
        </w:rPr>
        <w:t>33</w:t>
      </w:r>
      <w:r>
        <w:rPr>
          <w:rFonts w:ascii="Arial" w:hAnsi="Arial" w:cs="Arial"/>
        </w:rPr>
        <w:t>%) a recibir i</w:t>
      </w:r>
      <w:r w:rsidRPr="001079BC">
        <w:rPr>
          <w:rFonts w:ascii="Arial" w:hAnsi="Arial" w:cs="Arial"/>
        </w:rPr>
        <w:t xml:space="preserve">nformación </w:t>
      </w:r>
      <w:r>
        <w:rPr>
          <w:rFonts w:ascii="Arial" w:hAnsi="Arial" w:cs="Arial"/>
        </w:rPr>
        <w:t xml:space="preserve">general del estado de </w:t>
      </w:r>
      <w:r w:rsidR="00EE23DA">
        <w:rPr>
          <w:rFonts w:ascii="Arial" w:hAnsi="Arial" w:cs="Arial"/>
        </w:rPr>
        <w:t>cuenta.</w:t>
      </w:r>
    </w:p>
    <w:p w14:paraId="47DF62C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FDE1F1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75CE17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1439AE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499B757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693"/>
        <w:gridCol w:w="1985"/>
      </w:tblGrid>
      <w:tr w:rsidR="00F32DDA" w14:paraId="0C9E44F2" w14:textId="77777777" w:rsidTr="005E468E">
        <w:trPr>
          <w:trHeight w:hRule="exact" w:val="301"/>
        </w:trPr>
        <w:tc>
          <w:tcPr>
            <w:tcW w:w="894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6982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SUBDIRECCIÓN FINANCIERA (Cartera)</w:t>
            </w:r>
          </w:p>
        </w:tc>
      </w:tr>
      <w:tr w:rsidR="00F32DDA" w14:paraId="37FE54F6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AB8B" w14:textId="2B453B80" w:rsidR="00F32DDA" w:rsidRDefault="00C646C5" w:rsidP="005E468E">
            <w:pPr>
              <w:jc w:val="center"/>
              <w:rPr>
                <w:b/>
                <w:bCs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>
              <w:rPr>
                <w:b/>
                <w:bCs/>
              </w:rPr>
              <w:t xml:space="preserve"> O SERVICIO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CACB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CIUDADANOS ATENDIDOS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BC62C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PORCENTAJE</w:t>
            </w:r>
          </w:p>
        </w:tc>
      </w:tr>
      <w:tr w:rsidR="00F32DDA" w14:paraId="1A547275" w14:textId="77777777" w:rsidTr="00EE23DA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E2614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ACUERDO DE PAGO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79665" w14:textId="4E41458A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18552" w14:textId="69D3D322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46,67%</w:t>
            </w:r>
          </w:p>
        </w:tc>
      </w:tr>
      <w:tr w:rsidR="00F32DDA" w14:paraId="569BE770" w14:textId="77777777" w:rsidTr="00EE23DA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7B9E9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EXPEDICION DE PAZ Y SALVOS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3FD75" w14:textId="40772675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F34DE" w14:textId="7E57A76C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10,00%</w:t>
            </w:r>
          </w:p>
        </w:tc>
      </w:tr>
      <w:tr w:rsidR="00F32DDA" w14:paraId="0802ED8B" w14:textId="77777777" w:rsidTr="00EE23DA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A95C5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IMPRESION TALONARIO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0777D" w14:textId="360B1C7D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4D6D8" w14:textId="03BEE5E8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20,00%</w:t>
            </w:r>
          </w:p>
        </w:tc>
      </w:tr>
      <w:tr w:rsidR="00F32DDA" w14:paraId="2DB6C006" w14:textId="77777777" w:rsidTr="00EE23DA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B580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INFORMACION ESTADO DE CUENTA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2DEB2" w14:textId="6350B3E9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61B6C" w14:textId="4D869892" w:rsidR="00F32DDA" w:rsidRDefault="00EE23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23,33%</w:t>
            </w:r>
          </w:p>
        </w:tc>
      </w:tr>
      <w:tr w:rsidR="00F32DDA" w14:paraId="5A102BAD" w14:textId="77777777" w:rsidTr="00EE23DA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00DC6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D6043" w14:textId="2A12DCF2" w:rsidR="00F32DDA" w:rsidRDefault="00EE23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2C36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39686816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756DDE7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2FC909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E42BE99" w14:textId="722A9197" w:rsidR="00F32DDA" w:rsidRPr="00EB70CE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Subdirección Administrativa atendió a </w:t>
      </w:r>
      <w:r w:rsidR="00EE23D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ciudadanos (0,</w:t>
      </w:r>
      <w:r w:rsidR="00EE23DA">
        <w:rPr>
          <w:rFonts w:ascii="Arial" w:hAnsi="Arial" w:cs="Arial"/>
        </w:rPr>
        <w:t>10</w:t>
      </w:r>
      <w:r>
        <w:rPr>
          <w:rFonts w:ascii="Arial" w:hAnsi="Arial" w:cs="Arial"/>
        </w:rPr>
        <w:t>%) y</w:t>
      </w:r>
      <w:r w:rsidR="00EE23DA">
        <w:rPr>
          <w:rFonts w:ascii="Arial" w:hAnsi="Arial" w:cs="Arial"/>
        </w:rPr>
        <w:t xml:space="preserve"> de igual manera </w:t>
      </w:r>
      <w:r>
        <w:rPr>
          <w:rFonts w:ascii="Arial" w:hAnsi="Arial" w:cs="Arial"/>
        </w:rPr>
        <w:t xml:space="preserve"> la Dirección </w:t>
      </w:r>
      <w:r w:rsidR="00EE23DA">
        <w:rPr>
          <w:rFonts w:ascii="Arial" w:hAnsi="Arial" w:cs="Arial"/>
        </w:rPr>
        <w:t>General</w:t>
      </w:r>
      <w:r>
        <w:rPr>
          <w:rFonts w:ascii="Arial" w:hAnsi="Arial" w:cs="Arial"/>
        </w:rPr>
        <w:t xml:space="preserve"> a 2 ciudadanos </w:t>
      </w:r>
      <w:r w:rsidRPr="00DF7DE5">
        <w:rPr>
          <w:rFonts w:ascii="Arial" w:hAnsi="Arial" w:cs="Arial"/>
        </w:rPr>
        <w:t xml:space="preserve">que equivale al </w:t>
      </w:r>
      <w:r w:rsidR="00EE23DA">
        <w:rPr>
          <w:rFonts w:ascii="Arial" w:hAnsi="Arial" w:cs="Arial"/>
        </w:rPr>
        <w:t xml:space="preserve">(0,10%) </w:t>
      </w:r>
      <w:r w:rsidRPr="00DF7DE5">
        <w:rPr>
          <w:rFonts w:ascii="Arial" w:hAnsi="Arial" w:cs="Arial"/>
        </w:rPr>
        <w:t>del total de la población</w:t>
      </w:r>
      <w:r>
        <w:rPr>
          <w:rFonts w:ascii="Arial" w:hAnsi="Arial" w:cs="Arial"/>
        </w:rPr>
        <w:t>, todos indagando sobre información de carácter general.</w:t>
      </w:r>
      <w:r w:rsidRPr="00DF7DE5">
        <w:rPr>
          <w:rFonts w:ascii="Arial" w:hAnsi="Arial" w:cs="Arial"/>
        </w:rPr>
        <w:t xml:space="preserve"> </w:t>
      </w:r>
    </w:p>
    <w:p w14:paraId="6196EF1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65E1FD6" w14:textId="77777777" w:rsidR="00F32DDA" w:rsidRPr="003740CE" w:rsidRDefault="00F32DDA" w:rsidP="00F32DDA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14:paraId="13F84B9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</w:rPr>
      </w:pPr>
    </w:p>
    <w:p w14:paraId="377849E7" w14:textId="0DB028A3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2.</w:t>
      </w:r>
      <w:r w:rsidR="00CC4A3F">
        <w:rPr>
          <w:rFonts w:ascii="Arial" w:hAnsi="Arial" w:cs="Arial"/>
        </w:rPr>
        <w:t>044</w:t>
      </w:r>
      <w:r w:rsidRPr="001079BC">
        <w:rPr>
          <w:rFonts w:ascii="Arial" w:hAnsi="Arial" w:cs="Arial"/>
        </w:rPr>
        <w:t xml:space="preserve"> ciudadanos qu</w:t>
      </w:r>
      <w:r w:rsidR="00CC4A3F">
        <w:rPr>
          <w:rFonts w:ascii="Arial" w:hAnsi="Arial" w:cs="Arial"/>
        </w:rPr>
        <w:t>e se acercaron a la entidad, el 12,3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 w:rsidR="00CC4A3F">
        <w:rPr>
          <w:rFonts w:ascii="Arial" w:hAnsi="Arial" w:cs="Arial"/>
        </w:rPr>
        <w:t>252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76,92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130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  </w:t>
      </w:r>
    </w:p>
    <w:p w14:paraId="1CB7F44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120"/>
        <w:gridCol w:w="1540"/>
      </w:tblGrid>
      <w:tr w:rsidR="00F32DDA" w14:paraId="698E7D8C" w14:textId="77777777" w:rsidTr="005E468E">
        <w:trPr>
          <w:trHeight w:hRule="exact" w:val="301"/>
        </w:trPr>
        <w:tc>
          <w:tcPr>
            <w:tcW w:w="1014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39EC3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ATENCIÓN PRIORITARIA</w:t>
            </w:r>
          </w:p>
        </w:tc>
      </w:tr>
      <w:tr w:rsidR="00F32DDA" w14:paraId="0BC985BE" w14:textId="77777777" w:rsidTr="005E468E">
        <w:trPr>
          <w:trHeight w:hRule="exact" w:val="301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3547B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DEPENDENCIA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CA662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CIUDADANOS ATENDIDOS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E42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PORCENTAJE</w:t>
            </w:r>
          </w:p>
        </w:tc>
      </w:tr>
      <w:tr w:rsidR="00F32DDA" w14:paraId="3C8BD2B7" w14:textId="77777777" w:rsidTr="00CC4A3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C7302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DIRECCION DE REASENTAMIENTOS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FB47" w14:textId="7ACB8A82" w:rsidR="00F32DDA" w:rsidRDefault="00CC4A3F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8ADAE" w14:textId="76A18EAF" w:rsidR="00F32DDA" w:rsidRDefault="00CC4A3F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76,98%</w:t>
            </w:r>
          </w:p>
        </w:tc>
      </w:tr>
      <w:tr w:rsidR="00F32DDA" w14:paraId="2B6E67AC" w14:textId="77777777" w:rsidTr="00CC4A3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7C89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DIRECCION DE MEJORAMIENTO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98D9A" w14:textId="5527D65F" w:rsidR="00F32DDA" w:rsidRDefault="00CC4A3F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A341F" w14:textId="6A80F6C2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9,13%</w:t>
            </w:r>
          </w:p>
        </w:tc>
      </w:tr>
      <w:tr w:rsidR="00F32DDA" w14:paraId="73E5FE6E" w14:textId="77777777" w:rsidTr="00CC4A3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063A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DIRECCION DE URBANIZACIONES Y TITULACION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C99F" w14:textId="6B34D2F0" w:rsidR="00F32DDA" w:rsidRDefault="00CC4A3F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E977B" w14:textId="70876AC2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12,30%</w:t>
            </w:r>
          </w:p>
        </w:tc>
      </w:tr>
      <w:tr w:rsidR="00F32DDA" w14:paraId="38883356" w14:textId="77777777" w:rsidTr="00CC4A3F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EBD5E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SUBDIRECCION FINANCIERA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39F49" w14:textId="196BB294" w:rsidR="00F32DDA" w:rsidRDefault="00CC4A3F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268B9" w14:textId="16177F1A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1,19%</w:t>
            </w:r>
          </w:p>
        </w:tc>
      </w:tr>
      <w:tr w:rsidR="00CC4A3F" w14:paraId="7E6D815E" w14:textId="77777777" w:rsidTr="005E468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49D88" w14:textId="39E62727" w:rsidR="00CC4A3F" w:rsidRDefault="00CC4A3F" w:rsidP="00CC4A3F">
            <w:pPr>
              <w:rPr>
                <w:color w:val="000000"/>
              </w:rPr>
            </w:pPr>
            <w:r>
              <w:rPr>
                <w:color w:val="000000"/>
              </w:rPr>
              <w:t>DIRECCION DE MEJORAMIENTO DE BARRIOS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C24B3" w14:textId="3A139FED" w:rsidR="00CC4A3F" w:rsidRDefault="00CC4A3F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8CD01" w14:textId="1E73CE35" w:rsidR="00CC4A3F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0,40%</w:t>
            </w:r>
          </w:p>
        </w:tc>
      </w:tr>
      <w:tr w:rsidR="00F32DDA" w14:paraId="72CA95ED" w14:textId="77777777" w:rsidTr="005E468E">
        <w:trPr>
          <w:trHeight w:hRule="exact" w:val="301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63193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8AB3F" w14:textId="5DAF47A3" w:rsidR="00F32DDA" w:rsidRDefault="00CC4A3F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E575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60E68AB3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0763DA8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CC45826" w14:textId="77777777" w:rsidR="00F32DDA" w:rsidRDefault="00F32DDA" w:rsidP="00F32D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766620" w14:textId="7239F467" w:rsidR="00F32DDA" w:rsidRPr="001079BC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 w:rsidR="006A556C">
        <w:rPr>
          <w:rFonts w:ascii="Arial" w:hAnsi="Arial" w:cs="Arial"/>
        </w:rPr>
        <w:t>252</w:t>
      </w:r>
      <w:r w:rsidRPr="001079BC">
        <w:rPr>
          <w:rFonts w:ascii="Arial" w:hAnsi="Arial" w:cs="Arial"/>
        </w:rPr>
        <w:t xml:space="preserve"> ciudadanos con atención prioritaria en el mes de </w:t>
      </w:r>
      <w:r w:rsidR="006A556C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88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52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07</w:t>
      </w:r>
      <w:r w:rsidRPr="001079BC">
        <w:rPr>
          <w:rFonts w:ascii="Arial" w:hAnsi="Arial" w:cs="Arial"/>
        </w:rPr>
        <w:t>%).</w:t>
      </w: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4108"/>
        <w:gridCol w:w="1535"/>
      </w:tblGrid>
      <w:tr w:rsidR="00F32DDA" w14:paraId="75CEC180" w14:textId="77777777" w:rsidTr="00F32DDA">
        <w:trPr>
          <w:trHeight w:hRule="exact" w:val="281"/>
        </w:trPr>
        <w:tc>
          <w:tcPr>
            <w:tcW w:w="1011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89591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PRIORIDAD</w:t>
            </w:r>
          </w:p>
        </w:tc>
      </w:tr>
      <w:tr w:rsidR="00F32DDA" w14:paraId="4CB20A49" w14:textId="77777777" w:rsidTr="00F32DDA">
        <w:trPr>
          <w:trHeight w:hRule="exact" w:val="281"/>
        </w:trPr>
        <w:tc>
          <w:tcPr>
            <w:tcW w:w="446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245F0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 PRIORITARIO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1B42B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CIUDADANOS ATENDIDOS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9C75C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PORCENTAJE</w:t>
            </w:r>
          </w:p>
        </w:tc>
      </w:tr>
      <w:tr w:rsidR="00F32DDA" w14:paraId="389BBC9B" w14:textId="77777777" w:rsidTr="006A556C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161B7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Adulto Mayor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EA976" w14:textId="2F3627ED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7D0A3" w14:textId="557447B9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57,14%</w:t>
            </w:r>
          </w:p>
        </w:tc>
      </w:tr>
      <w:tr w:rsidR="00F32DDA" w14:paraId="200C89E0" w14:textId="77777777" w:rsidTr="006A556C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5369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F-04:Mujeres lactantes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FB977" w14:textId="5A14E253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C74D" w14:textId="68F05D5F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25,40%</w:t>
            </w:r>
          </w:p>
        </w:tc>
      </w:tr>
      <w:tr w:rsidR="00F32DDA" w14:paraId="5740A2F3" w14:textId="77777777" w:rsidTr="006A556C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215D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F-01:Discapacitados/as (no certificado)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6A14E" w14:textId="4E8CD49C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73A33" w14:textId="683AE531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8,73%</w:t>
            </w:r>
          </w:p>
        </w:tc>
      </w:tr>
      <w:tr w:rsidR="00F32DDA" w14:paraId="4FFCF127" w14:textId="77777777" w:rsidTr="006A556C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17D2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F-02:Discapacitados/as (certificado)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6C16F" w14:textId="29945269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999E" w14:textId="36778748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1,59%</w:t>
            </w:r>
          </w:p>
        </w:tc>
      </w:tr>
      <w:tr w:rsidR="00F32DDA" w14:paraId="27467399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4C32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F-03:Mujeres embarazadas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3F61B" w14:textId="02A366E9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5186A" w14:textId="228DA003" w:rsidR="00F32DDA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2,38%</w:t>
            </w:r>
          </w:p>
        </w:tc>
      </w:tr>
      <w:tr w:rsidR="006A556C" w14:paraId="68871999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C0080" w14:textId="092C057F" w:rsidR="006A556C" w:rsidRDefault="006A556C" w:rsidP="006A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F-08:Ninguna de las anteriores </w:t>
            </w:r>
          </w:p>
          <w:p w14:paraId="2872262A" w14:textId="77777777" w:rsidR="006A556C" w:rsidRDefault="006A556C" w:rsidP="005E468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DB0C" w14:textId="21EDF201" w:rsidR="006A556C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2145" w14:textId="75837BF4" w:rsidR="006A556C" w:rsidRDefault="006A556C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4,76%</w:t>
            </w:r>
          </w:p>
        </w:tc>
      </w:tr>
      <w:tr w:rsidR="00F32DDA" w14:paraId="5700B0D1" w14:textId="77777777" w:rsidTr="00F32DDA">
        <w:trPr>
          <w:trHeight w:hRule="exact" w:val="281"/>
        </w:trPr>
        <w:tc>
          <w:tcPr>
            <w:tcW w:w="446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D8D4C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278D8" w14:textId="50373607" w:rsidR="00F32DDA" w:rsidRDefault="006A556C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2E750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508C2A13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C37072D" w14:textId="1A0871A6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  <w:r w:rsidR="00C646C5">
        <w:rPr>
          <w:rFonts w:ascii="Arial" w:hAnsi="Arial" w:cs="Arial"/>
          <w:sz w:val="16"/>
          <w:szCs w:val="16"/>
        </w:rPr>
        <w:t xml:space="preserve"> </w:t>
      </w:r>
    </w:p>
    <w:p w14:paraId="561B0EE1" w14:textId="77777777" w:rsidR="00F32DDA" w:rsidRDefault="00F32DDA" w:rsidP="00F32DD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6716BD28" w14:textId="77777777" w:rsidR="00F32DDA" w:rsidRDefault="00F32DDA" w:rsidP="00F32DD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6E638530" w14:textId="6F7550E7" w:rsidR="00F32DDA" w:rsidRPr="005B2EA1" w:rsidRDefault="00C646C5" w:rsidP="00F32DDA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DETALLE DE LA ATENCIÓ</w:t>
      </w:r>
      <w:r w:rsidR="00F32DDA" w:rsidRPr="005B2EA1">
        <w:rPr>
          <w:rFonts w:ascii="Arial" w:hAnsi="Arial" w:cs="Arial"/>
          <w:b/>
          <w:u w:val="single"/>
        </w:rPr>
        <w:t>N POR EL CANAL TELEFONICO DE LAS DIFERENTES DEPENDENCIAS</w:t>
      </w:r>
    </w:p>
    <w:p w14:paraId="7AF9849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1605BF6" w14:textId="39256D43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  <w:r w:rsidR="003F5627">
        <w:rPr>
          <w:rFonts w:ascii="Arial" w:hAnsi="Arial" w:cs="Arial"/>
        </w:rPr>
        <w:t>De las 84  llamadas recibidas tan solo 2 no fueron contestadas.</w:t>
      </w:r>
    </w:p>
    <w:p w14:paraId="78B4D4BD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drawing>
          <wp:inline distT="0" distB="0" distL="0" distR="0" wp14:anchorId="267DF87F" wp14:editId="526BDF63">
            <wp:extent cx="5562600" cy="43434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w:t xml:space="preserve"> </w:t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0" wp14:editId="69820BD5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5693C" w14:textId="77777777" w:rsidR="00F32DDA" w:rsidRPr="00A21483" w:rsidRDefault="00F32DDA" w:rsidP="00F32DDA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14:paraId="6375693C" w14:textId="77777777" w:rsidR="00F32DDA" w:rsidRPr="00A21483" w:rsidRDefault="00F32DDA" w:rsidP="00F32DDA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14:paraId="4C5257D6" w14:textId="7A229AFD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 xml:space="preserve">Llamadas contestadas, no contestadas y ocupado - </w:t>
      </w:r>
      <w:r w:rsidR="003F5627">
        <w:rPr>
          <w:rFonts w:ascii="Arial" w:hAnsi="Arial" w:cs="Arial"/>
          <w:bCs/>
          <w:sz w:val="16"/>
          <w:szCs w:val="16"/>
          <w:lang w:val="es-ES"/>
        </w:rPr>
        <w:t>diciembre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2019</w:t>
      </w:r>
    </w:p>
    <w:p w14:paraId="0E008C4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461249F9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3D0CD527" wp14:editId="412EFD2F">
            <wp:extent cx="5610225" cy="38004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ACA88D" w14:textId="631D6B36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Informe Conmutador del mes de </w:t>
      </w:r>
      <w:r w:rsidR="003F5627">
        <w:rPr>
          <w:rFonts w:ascii="Arial" w:hAnsi="Arial" w:cs="Arial"/>
          <w:sz w:val="16"/>
          <w:szCs w:val="16"/>
        </w:rPr>
        <w:t>diciembre</w:t>
      </w:r>
      <w:r>
        <w:rPr>
          <w:rFonts w:ascii="Arial" w:hAnsi="Arial" w:cs="Arial"/>
          <w:sz w:val="16"/>
          <w:szCs w:val="16"/>
        </w:rPr>
        <w:t xml:space="preserve"> de 2019 discriminado por dependencia.</w:t>
      </w:r>
    </w:p>
    <w:p w14:paraId="68CB13E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14:paraId="51C8116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34FD5D7" w14:textId="6E927C58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totalidad de las </w:t>
      </w:r>
      <w:r w:rsidR="003F5627">
        <w:rPr>
          <w:rFonts w:ascii="Arial" w:hAnsi="Arial" w:cs="Arial"/>
        </w:rPr>
        <w:t>84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 xml:space="preserve">, </w:t>
      </w:r>
      <w:r w:rsidR="003F5627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(</w:t>
      </w:r>
      <w:r w:rsidR="003F5627">
        <w:rPr>
          <w:rFonts w:ascii="Arial" w:hAnsi="Arial" w:cs="Arial"/>
        </w:rPr>
        <w:t>97</w:t>
      </w:r>
      <w:r>
        <w:rPr>
          <w:rFonts w:ascii="Arial" w:hAnsi="Arial" w:cs="Arial"/>
        </w:rPr>
        <w:t>,</w:t>
      </w:r>
      <w:r w:rsidR="003F5627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%) </w:t>
      </w:r>
      <w:r w:rsidRPr="001079BC">
        <w:rPr>
          <w:rFonts w:ascii="Arial" w:hAnsi="Arial" w:cs="Arial"/>
        </w:rPr>
        <w:t xml:space="preserve">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>
        <w:rPr>
          <w:rFonts w:ascii="Arial" w:hAnsi="Arial" w:cs="Arial"/>
        </w:rPr>
        <w:t xml:space="preserve">, </w:t>
      </w:r>
      <w:r w:rsidR="003F56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</w:t>
      </w:r>
      <w:r w:rsidR="003F5627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3F5627">
        <w:rPr>
          <w:rFonts w:ascii="Arial" w:hAnsi="Arial" w:cs="Arial"/>
        </w:rPr>
        <w:t>38</w:t>
      </w:r>
      <w:r>
        <w:rPr>
          <w:rFonts w:ascii="Arial" w:hAnsi="Arial" w:cs="Arial"/>
        </w:rPr>
        <w:t>%) no fueron contestadas.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Reasentamientos</w:t>
      </w:r>
      <w:r w:rsidRPr="001079BC">
        <w:rPr>
          <w:rFonts w:ascii="Arial" w:hAnsi="Arial" w:cs="Arial"/>
        </w:rPr>
        <w:t xml:space="preserve"> con </w:t>
      </w:r>
      <w:r w:rsidR="003F5627">
        <w:rPr>
          <w:rFonts w:ascii="Arial" w:hAnsi="Arial" w:cs="Arial"/>
        </w:rPr>
        <w:t>53</w:t>
      </w:r>
      <w:r w:rsidRPr="001079BC">
        <w:rPr>
          <w:rFonts w:ascii="Arial" w:hAnsi="Arial" w:cs="Arial"/>
        </w:rPr>
        <w:t xml:space="preserve"> registros telefónicos, lo que representa un </w:t>
      </w:r>
      <w:r w:rsidR="003F5627">
        <w:rPr>
          <w:rFonts w:ascii="Arial" w:hAnsi="Arial" w:cs="Arial"/>
        </w:rPr>
        <w:t>63,09</w:t>
      </w:r>
      <w:r>
        <w:rPr>
          <w:rFonts w:ascii="Arial" w:hAnsi="Arial" w:cs="Arial"/>
        </w:rPr>
        <w:t>%.</w:t>
      </w:r>
    </w:p>
    <w:p w14:paraId="28CB488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9AA88C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3E4E6FC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222AFD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7C155D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F07583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7D150B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413333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3FA05C3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5FE42E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65A90F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B77E17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21108F1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34EDD99" w14:textId="77777777" w:rsidR="00F32DDA" w:rsidRPr="00635E63" w:rsidRDefault="00F32DDA" w:rsidP="00F32DD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14:paraId="5397E171" w14:textId="77777777" w:rsidR="00F32DDA" w:rsidRPr="001079BC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14:paraId="04B081FF" w14:textId="144C1630" w:rsidR="00F32DDA" w:rsidRPr="009858C2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858C2">
        <w:rPr>
          <w:rFonts w:ascii="Arial" w:hAnsi="Arial" w:cs="Arial"/>
        </w:rPr>
        <w:t xml:space="preserve">Para el mes de </w:t>
      </w:r>
      <w:r w:rsidR="003F5627">
        <w:rPr>
          <w:rFonts w:ascii="Arial" w:hAnsi="Arial" w:cs="Arial"/>
        </w:rPr>
        <w:t>diciembre</w:t>
      </w:r>
      <w:r w:rsidRPr="009858C2">
        <w:rPr>
          <w:rFonts w:ascii="Arial" w:hAnsi="Arial" w:cs="Arial"/>
        </w:rPr>
        <w:t xml:space="preserve"> de 2019 a la entidad se acercaron </w:t>
      </w:r>
      <w:r>
        <w:rPr>
          <w:rFonts w:ascii="Arial" w:hAnsi="Arial" w:cs="Arial"/>
        </w:rPr>
        <w:t>2</w:t>
      </w:r>
      <w:r w:rsidRPr="009858C2">
        <w:rPr>
          <w:rFonts w:ascii="Arial" w:hAnsi="Arial" w:cs="Arial"/>
        </w:rPr>
        <w:t>.</w:t>
      </w:r>
      <w:r w:rsidR="003F5627">
        <w:rPr>
          <w:rFonts w:ascii="Arial" w:hAnsi="Arial" w:cs="Arial"/>
        </w:rPr>
        <w:t>044</w:t>
      </w:r>
      <w:r w:rsidRPr="009858C2">
        <w:rPr>
          <w:rFonts w:ascii="Arial" w:hAnsi="Arial" w:cs="Arial"/>
        </w:rPr>
        <w:t xml:space="preserve"> ciudadanos, de los cuales </w:t>
      </w:r>
      <w:r>
        <w:rPr>
          <w:rFonts w:ascii="Arial" w:hAnsi="Arial" w:cs="Arial"/>
        </w:rPr>
        <w:t xml:space="preserve">la gran mayoría </w:t>
      </w:r>
      <w:r w:rsidRPr="009858C2">
        <w:rPr>
          <w:rFonts w:ascii="Arial" w:hAnsi="Arial" w:cs="Arial"/>
        </w:rPr>
        <w:t xml:space="preserve">lo hicieron con el objetivo de conocer el estado del proceso o para solicitar información general de los programas a los cuales se acercaron. De manera consolidada, de enero a </w:t>
      </w:r>
      <w:r w:rsidR="003F5627">
        <w:rPr>
          <w:rFonts w:ascii="Arial" w:hAnsi="Arial" w:cs="Arial"/>
        </w:rPr>
        <w:t>diciembre</w:t>
      </w:r>
      <w:r w:rsidRPr="009858C2">
        <w:rPr>
          <w:rFonts w:ascii="Arial" w:hAnsi="Arial" w:cs="Arial"/>
        </w:rPr>
        <w:t xml:space="preserve"> de 2019, se han acercado a la entidad </w:t>
      </w:r>
      <w:r>
        <w:rPr>
          <w:rFonts w:ascii="Arial" w:hAnsi="Arial" w:cs="Arial"/>
        </w:rPr>
        <w:t>3</w:t>
      </w:r>
      <w:r w:rsidR="003F5627">
        <w:rPr>
          <w:rFonts w:ascii="Arial" w:hAnsi="Arial" w:cs="Arial"/>
        </w:rPr>
        <w:t>6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3F5627">
        <w:rPr>
          <w:rFonts w:ascii="Arial" w:hAnsi="Arial" w:cs="Arial"/>
        </w:rPr>
        <w:t>84</w:t>
      </w:r>
      <w:r w:rsidRPr="009858C2">
        <w:rPr>
          <w:rFonts w:ascii="Arial" w:hAnsi="Arial" w:cs="Arial"/>
        </w:rPr>
        <w:t xml:space="preserve"> (100%) ciudadanos/usuarios</w:t>
      </w:r>
      <w:r>
        <w:rPr>
          <w:rFonts w:ascii="Arial" w:hAnsi="Arial" w:cs="Arial"/>
        </w:rPr>
        <w:t>.</w:t>
      </w:r>
    </w:p>
    <w:p w14:paraId="0277D43B" w14:textId="77777777" w:rsidR="00F32DDA" w:rsidRPr="00BD15EA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A157E93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14:paraId="35A5AE83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024B1A8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Dar a conocer en detalle al usuario los diferentes canales de interacción, puntos de  atención en terreno y en la CVP, evitando que los Ciudadanos más vulnerables tengan que desplazarse lejos de su vivienda.</w:t>
      </w:r>
    </w:p>
    <w:p w14:paraId="0AC03A40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0B874FEB" w14:textId="38CECE54" w:rsidR="00F32DDA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 xml:space="preserve">Facilitar el acceso a la información sobre los trámites y servicios que presta la entidad de manera virtual, permitirá empoderar a los </w:t>
      </w:r>
      <w:r w:rsidR="00170306" w:rsidRPr="007104FC">
        <w:rPr>
          <w:rFonts w:ascii="Arial" w:hAnsi="Arial" w:cs="Arial"/>
        </w:rPr>
        <w:t>ciudadanos</w:t>
      </w:r>
      <w:r w:rsidR="00170306">
        <w:rPr>
          <w:rFonts w:ascii="Arial" w:hAnsi="Arial" w:cs="Arial"/>
        </w:rPr>
        <w:t>, esto</w:t>
      </w:r>
      <w:r w:rsidR="003F5627">
        <w:rPr>
          <w:rFonts w:ascii="Arial" w:hAnsi="Arial" w:cs="Arial"/>
        </w:rPr>
        <w:t xml:space="preserve"> incrementara el nivel de su satisfacción.</w:t>
      </w:r>
    </w:p>
    <w:p w14:paraId="6111935B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A4EF19B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4197C88F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6F5FC86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55E59411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636E45E3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187BFD05" w14:textId="77777777" w:rsidR="00F32DDA" w:rsidRPr="002E720E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14:paraId="67A65D57" w14:textId="77777777" w:rsidR="00F32DDA" w:rsidRPr="002E720E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14:paraId="7457B91B" w14:textId="77777777" w:rsidR="00F32DDA" w:rsidRPr="00AF0CB1" w:rsidRDefault="00F32DDA" w:rsidP="00F32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52D3A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Ramírez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Ramírez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646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88503FB" w14:textId="77777777" w:rsidR="00F32DDA" w:rsidRPr="007E2536" w:rsidRDefault="00F32DDA" w:rsidP="00F32DD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ab/>
      </w:r>
    </w:p>
    <w:p w14:paraId="27FE8D05" w14:textId="6BFD9403" w:rsidR="00F32DDA" w:rsidRDefault="00F32DDA" w:rsidP="003F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Roberto Carlos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>Narvaéz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Cortes - Contratista (30 de 2019)</w:t>
      </w:r>
    </w:p>
    <w:p w14:paraId="6B74CDEF" w14:textId="77777777" w:rsidR="00F32DDA" w:rsidRPr="007E2536" w:rsidRDefault="00F32DDA" w:rsidP="00F32D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proofErr w:type="spellStart"/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</w:t>
      </w:r>
      <w:proofErr w:type="spellEnd"/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7B0D30D9" w14:textId="77777777" w:rsidR="00F32DDA" w:rsidRPr="00AF0CB1" w:rsidRDefault="00F32DDA" w:rsidP="00F32DD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2418749" w14:textId="77777777" w:rsidR="002A4276" w:rsidRPr="00F32DDA" w:rsidRDefault="002A4276" w:rsidP="00F32DDA"/>
    <w:sectPr w:rsidR="002A4276" w:rsidRPr="00F32DDA" w:rsidSect="00F81585">
      <w:headerReference w:type="default" r:id="rId13"/>
      <w:footerReference w:type="default" r:id="rId14"/>
      <w:pgSz w:w="12240" w:h="15840" w:code="1"/>
      <w:pgMar w:top="2268" w:right="1134" w:bottom="1134" w:left="1701" w:header="709" w:footer="1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523BC" w14:textId="77777777" w:rsidR="00A43064" w:rsidRDefault="00A43064" w:rsidP="000C58E8">
      <w:pPr>
        <w:spacing w:after="0" w:line="240" w:lineRule="auto"/>
      </w:pPr>
      <w:r>
        <w:separator/>
      </w:r>
    </w:p>
  </w:endnote>
  <w:endnote w:type="continuationSeparator" w:id="0">
    <w:p w14:paraId="58EFCF2B" w14:textId="77777777" w:rsidR="00A43064" w:rsidRDefault="00A4306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470D6" w14:textId="77777777" w:rsidR="00CC0827" w:rsidRDefault="00CC0827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20ED3" w:rsidRPr="00F20ED3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20ED3" w:rsidRPr="00F20ED3">
      <w:rPr>
        <w:b/>
        <w:bCs/>
        <w:noProof/>
        <w:lang w:val="es-ES"/>
      </w:rPr>
      <w:t>9</w:t>
    </w:r>
    <w:r>
      <w:rPr>
        <w:b/>
        <w:bCs/>
      </w:rPr>
      <w:fldChar w:fldCharType="end"/>
    </w:r>
  </w:p>
  <w:p w14:paraId="1399888D" w14:textId="77777777" w:rsidR="00CC0827" w:rsidRDefault="00CC0827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07B7" wp14:editId="560EA290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098BE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208-SC-Ft-01</w:t>
                          </w:r>
                        </w:p>
                        <w:p w14:paraId="3ED09102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6257C75A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/01/2019</w:t>
                          </w:r>
                        </w:p>
                        <w:p w14:paraId="5C87A86D" w14:textId="77777777" w:rsidR="00CC0827" w:rsidRPr="00F70E8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14:paraId="326098BE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208-SC-Ft-01</w:t>
                    </w:r>
                  </w:p>
                  <w:p w14:paraId="3ED09102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6257C75A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30</w:t>
                    </w:r>
                    <w:r w:rsidRPr="00643927">
                      <w:rPr>
                        <w:sz w:val="12"/>
                        <w:szCs w:val="12"/>
                      </w:rPr>
                      <w:t>/01/2019</w:t>
                    </w:r>
                  </w:p>
                  <w:p w14:paraId="5C87A86D" w14:textId="77777777" w:rsidR="00CC0827" w:rsidRPr="00F70E8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A7F592A" wp14:editId="528C547B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5596" w14:textId="77777777" w:rsidR="00A43064" w:rsidRDefault="00A43064" w:rsidP="000C58E8">
      <w:pPr>
        <w:spacing w:after="0" w:line="240" w:lineRule="auto"/>
      </w:pPr>
      <w:r>
        <w:separator/>
      </w:r>
    </w:p>
  </w:footnote>
  <w:footnote w:type="continuationSeparator" w:id="0">
    <w:p w14:paraId="58B16C0F" w14:textId="77777777" w:rsidR="00A43064" w:rsidRDefault="00A4306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16AE" w14:textId="77777777" w:rsidR="00CC0827" w:rsidRPr="00177920" w:rsidRDefault="00CC082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2BD11A02" wp14:editId="0FDF969F">
          <wp:extent cx="900000" cy="900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5D28C" w14:textId="77777777" w:rsidR="00CC0827" w:rsidRDefault="00CC082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2905"/>
    <w:rsid w:val="0000332F"/>
    <w:rsid w:val="00003A92"/>
    <w:rsid w:val="00004084"/>
    <w:rsid w:val="00006E1A"/>
    <w:rsid w:val="00013FF2"/>
    <w:rsid w:val="00014B0A"/>
    <w:rsid w:val="000256D8"/>
    <w:rsid w:val="00027F6A"/>
    <w:rsid w:val="00031F3B"/>
    <w:rsid w:val="000335B7"/>
    <w:rsid w:val="00035E4F"/>
    <w:rsid w:val="00050E76"/>
    <w:rsid w:val="000510C3"/>
    <w:rsid w:val="00051E81"/>
    <w:rsid w:val="00055B47"/>
    <w:rsid w:val="00066096"/>
    <w:rsid w:val="00076C23"/>
    <w:rsid w:val="000773A3"/>
    <w:rsid w:val="00077DE1"/>
    <w:rsid w:val="00082607"/>
    <w:rsid w:val="00082A2E"/>
    <w:rsid w:val="00083E8F"/>
    <w:rsid w:val="00084956"/>
    <w:rsid w:val="00090C46"/>
    <w:rsid w:val="00096F6A"/>
    <w:rsid w:val="000A1EAA"/>
    <w:rsid w:val="000A3925"/>
    <w:rsid w:val="000B2C3B"/>
    <w:rsid w:val="000C19AF"/>
    <w:rsid w:val="000C3678"/>
    <w:rsid w:val="000C4A79"/>
    <w:rsid w:val="000C58E8"/>
    <w:rsid w:val="000D0403"/>
    <w:rsid w:val="000D0F4C"/>
    <w:rsid w:val="000D1A76"/>
    <w:rsid w:val="000D4179"/>
    <w:rsid w:val="000D72BC"/>
    <w:rsid w:val="000E1755"/>
    <w:rsid w:val="000E2D99"/>
    <w:rsid w:val="000E6F99"/>
    <w:rsid w:val="000F1B99"/>
    <w:rsid w:val="000F39D9"/>
    <w:rsid w:val="001011D2"/>
    <w:rsid w:val="0010310A"/>
    <w:rsid w:val="001050D4"/>
    <w:rsid w:val="00107821"/>
    <w:rsid w:val="00114036"/>
    <w:rsid w:val="0011627F"/>
    <w:rsid w:val="00121000"/>
    <w:rsid w:val="001216E1"/>
    <w:rsid w:val="00123367"/>
    <w:rsid w:val="00130AD5"/>
    <w:rsid w:val="00132855"/>
    <w:rsid w:val="0014006E"/>
    <w:rsid w:val="00141A69"/>
    <w:rsid w:val="00142097"/>
    <w:rsid w:val="00142554"/>
    <w:rsid w:val="0014363D"/>
    <w:rsid w:val="0015130E"/>
    <w:rsid w:val="00164AA5"/>
    <w:rsid w:val="00170306"/>
    <w:rsid w:val="00173D59"/>
    <w:rsid w:val="00177920"/>
    <w:rsid w:val="0018498E"/>
    <w:rsid w:val="00186BE7"/>
    <w:rsid w:val="00190327"/>
    <w:rsid w:val="0019480F"/>
    <w:rsid w:val="001964B7"/>
    <w:rsid w:val="001A17FE"/>
    <w:rsid w:val="001A450D"/>
    <w:rsid w:val="001B0ED4"/>
    <w:rsid w:val="001B123F"/>
    <w:rsid w:val="001B78D3"/>
    <w:rsid w:val="001C0468"/>
    <w:rsid w:val="001C45E6"/>
    <w:rsid w:val="001C59BC"/>
    <w:rsid w:val="001D2790"/>
    <w:rsid w:val="001D5963"/>
    <w:rsid w:val="001E0FAD"/>
    <w:rsid w:val="001E11AE"/>
    <w:rsid w:val="001E3E1F"/>
    <w:rsid w:val="001F0136"/>
    <w:rsid w:val="001F1FDD"/>
    <w:rsid w:val="001F2245"/>
    <w:rsid w:val="0020294A"/>
    <w:rsid w:val="002034E3"/>
    <w:rsid w:val="002068B9"/>
    <w:rsid w:val="00207377"/>
    <w:rsid w:val="00210CB9"/>
    <w:rsid w:val="00215786"/>
    <w:rsid w:val="00221395"/>
    <w:rsid w:val="00221BD1"/>
    <w:rsid w:val="00221EC5"/>
    <w:rsid w:val="00241A63"/>
    <w:rsid w:val="002427F6"/>
    <w:rsid w:val="00243EDA"/>
    <w:rsid w:val="0024486E"/>
    <w:rsid w:val="002475BD"/>
    <w:rsid w:val="0025079D"/>
    <w:rsid w:val="00261620"/>
    <w:rsid w:val="00270462"/>
    <w:rsid w:val="00271C6C"/>
    <w:rsid w:val="00271D68"/>
    <w:rsid w:val="0027224F"/>
    <w:rsid w:val="00275724"/>
    <w:rsid w:val="00276863"/>
    <w:rsid w:val="002772CA"/>
    <w:rsid w:val="0027777A"/>
    <w:rsid w:val="002A4008"/>
    <w:rsid w:val="002A4276"/>
    <w:rsid w:val="002A4E15"/>
    <w:rsid w:val="002A568E"/>
    <w:rsid w:val="002B058C"/>
    <w:rsid w:val="002B0B64"/>
    <w:rsid w:val="002B28C0"/>
    <w:rsid w:val="002C1716"/>
    <w:rsid w:val="002C3454"/>
    <w:rsid w:val="002C4B68"/>
    <w:rsid w:val="002C5A58"/>
    <w:rsid w:val="002C67B6"/>
    <w:rsid w:val="002D76C6"/>
    <w:rsid w:val="002F59A8"/>
    <w:rsid w:val="00302E32"/>
    <w:rsid w:val="00303675"/>
    <w:rsid w:val="003074CA"/>
    <w:rsid w:val="00310F17"/>
    <w:rsid w:val="00316D58"/>
    <w:rsid w:val="00321EAC"/>
    <w:rsid w:val="00325217"/>
    <w:rsid w:val="00326F09"/>
    <w:rsid w:val="0034127D"/>
    <w:rsid w:val="00342842"/>
    <w:rsid w:val="00344DD7"/>
    <w:rsid w:val="00346170"/>
    <w:rsid w:val="00352B19"/>
    <w:rsid w:val="00362360"/>
    <w:rsid w:val="00370B94"/>
    <w:rsid w:val="0037735E"/>
    <w:rsid w:val="00380632"/>
    <w:rsid w:val="00380FF0"/>
    <w:rsid w:val="003877AF"/>
    <w:rsid w:val="00387C4A"/>
    <w:rsid w:val="0039099A"/>
    <w:rsid w:val="00393505"/>
    <w:rsid w:val="0039692B"/>
    <w:rsid w:val="003A0989"/>
    <w:rsid w:val="003A3FF5"/>
    <w:rsid w:val="003A4896"/>
    <w:rsid w:val="003B768C"/>
    <w:rsid w:val="003C5CA8"/>
    <w:rsid w:val="003D08FF"/>
    <w:rsid w:val="003D112B"/>
    <w:rsid w:val="003D199E"/>
    <w:rsid w:val="003D1AA8"/>
    <w:rsid w:val="003E4BB7"/>
    <w:rsid w:val="003E6E7A"/>
    <w:rsid w:val="003F5627"/>
    <w:rsid w:val="003F6965"/>
    <w:rsid w:val="00407FB8"/>
    <w:rsid w:val="00414BA1"/>
    <w:rsid w:val="00416CD4"/>
    <w:rsid w:val="00422ADE"/>
    <w:rsid w:val="0042440B"/>
    <w:rsid w:val="004251D6"/>
    <w:rsid w:val="00427F6F"/>
    <w:rsid w:val="00442C45"/>
    <w:rsid w:val="00447B1C"/>
    <w:rsid w:val="00452B20"/>
    <w:rsid w:val="00454A74"/>
    <w:rsid w:val="00460A2B"/>
    <w:rsid w:val="00462346"/>
    <w:rsid w:val="004678F8"/>
    <w:rsid w:val="00473324"/>
    <w:rsid w:val="00473860"/>
    <w:rsid w:val="0047514A"/>
    <w:rsid w:val="004807E7"/>
    <w:rsid w:val="00481A67"/>
    <w:rsid w:val="004833D6"/>
    <w:rsid w:val="00490294"/>
    <w:rsid w:val="00491274"/>
    <w:rsid w:val="004A1F2E"/>
    <w:rsid w:val="004A43D8"/>
    <w:rsid w:val="004A6C5B"/>
    <w:rsid w:val="004A779E"/>
    <w:rsid w:val="004B0618"/>
    <w:rsid w:val="004C20AC"/>
    <w:rsid w:val="004D102E"/>
    <w:rsid w:val="004D1B2E"/>
    <w:rsid w:val="004D5A43"/>
    <w:rsid w:val="004D73FD"/>
    <w:rsid w:val="004D7932"/>
    <w:rsid w:val="004E2C24"/>
    <w:rsid w:val="004E35FD"/>
    <w:rsid w:val="004E4D9D"/>
    <w:rsid w:val="004F5E67"/>
    <w:rsid w:val="005037DA"/>
    <w:rsid w:val="00507A32"/>
    <w:rsid w:val="0051483F"/>
    <w:rsid w:val="00517308"/>
    <w:rsid w:val="0052686B"/>
    <w:rsid w:val="00526B6F"/>
    <w:rsid w:val="005337DE"/>
    <w:rsid w:val="00541DCA"/>
    <w:rsid w:val="005445BE"/>
    <w:rsid w:val="0054763A"/>
    <w:rsid w:val="005546AF"/>
    <w:rsid w:val="00554FB0"/>
    <w:rsid w:val="00561A19"/>
    <w:rsid w:val="00562ED1"/>
    <w:rsid w:val="005655B5"/>
    <w:rsid w:val="00573580"/>
    <w:rsid w:val="00573E9E"/>
    <w:rsid w:val="00583D83"/>
    <w:rsid w:val="0058459B"/>
    <w:rsid w:val="00590865"/>
    <w:rsid w:val="0059119F"/>
    <w:rsid w:val="005956BE"/>
    <w:rsid w:val="005A2861"/>
    <w:rsid w:val="005A298E"/>
    <w:rsid w:val="005A328F"/>
    <w:rsid w:val="005B3292"/>
    <w:rsid w:val="005B35F9"/>
    <w:rsid w:val="005B3B9D"/>
    <w:rsid w:val="005B6B5D"/>
    <w:rsid w:val="005C7641"/>
    <w:rsid w:val="005D6B51"/>
    <w:rsid w:val="005E0F94"/>
    <w:rsid w:val="005E111E"/>
    <w:rsid w:val="005E2998"/>
    <w:rsid w:val="005E3FD3"/>
    <w:rsid w:val="005F286C"/>
    <w:rsid w:val="0060029B"/>
    <w:rsid w:val="00603917"/>
    <w:rsid w:val="00605F59"/>
    <w:rsid w:val="006072C5"/>
    <w:rsid w:val="00615698"/>
    <w:rsid w:val="00620137"/>
    <w:rsid w:val="006227DB"/>
    <w:rsid w:val="0063656D"/>
    <w:rsid w:val="006430E4"/>
    <w:rsid w:val="00643927"/>
    <w:rsid w:val="006460A2"/>
    <w:rsid w:val="006506FD"/>
    <w:rsid w:val="0065122C"/>
    <w:rsid w:val="006512C3"/>
    <w:rsid w:val="006517C6"/>
    <w:rsid w:val="00652041"/>
    <w:rsid w:val="00655BA7"/>
    <w:rsid w:val="00660DEE"/>
    <w:rsid w:val="006639DA"/>
    <w:rsid w:val="00663FC5"/>
    <w:rsid w:val="006726D3"/>
    <w:rsid w:val="00674CCD"/>
    <w:rsid w:val="00676A2A"/>
    <w:rsid w:val="006774B3"/>
    <w:rsid w:val="0068406C"/>
    <w:rsid w:val="00690BBA"/>
    <w:rsid w:val="00695A7B"/>
    <w:rsid w:val="006A134B"/>
    <w:rsid w:val="006A5421"/>
    <w:rsid w:val="006A556C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0337C"/>
    <w:rsid w:val="00711BE8"/>
    <w:rsid w:val="007170E0"/>
    <w:rsid w:val="00720CCA"/>
    <w:rsid w:val="00724128"/>
    <w:rsid w:val="00725086"/>
    <w:rsid w:val="00725BD5"/>
    <w:rsid w:val="007307BA"/>
    <w:rsid w:val="00735E4F"/>
    <w:rsid w:val="00736597"/>
    <w:rsid w:val="00736F7B"/>
    <w:rsid w:val="007375DE"/>
    <w:rsid w:val="007407B7"/>
    <w:rsid w:val="0074176C"/>
    <w:rsid w:val="00751BE6"/>
    <w:rsid w:val="0075217F"/>
    <w:rsid w:val="00753EE7"/>
    <w:rsid w:val="0075607E"/>
    <w:rsid w:val="00761B46"/>
    <w:rsid w:val="00762049"/>
    <w:rsid w:val="00766E35"/>
    <w:rsid w:val="007725AF"/>
    <w:rsid w:val="00776343"/>
    <w:rsid w:val="007800CC"/>
    <w:rsid w:val="00784070"/>
    <w:rsid w:val="00785A79"/>
    <w:rsid w:val="00793709"/>
    <w:rsid w:val="007A0634"/>
    <w:rsid w:val="007A0FF5"/>
    <w:rsid w:val="007B1DBC"/>
    <w:rsid w:val="007B5930"/>
    <w:rsid w:val="007C274C"/>
    <w:rsid w:val="007C2FEA"/>
    <w:rsid w:val="007C7D13"/>
    <w:rsid w:val="007D224B"/>
    <w:rsid w:val="007D37A9"/>
    <w:rsid w:val="007E046B"/>
    <w:rsid w:val="007F54A7"/>
    <w:rsid w:val="007F62AA"/>
    <w:rsid w:val="00801F02"/>
    <w:rsid w:val="00802CB7"/>
    <w:rsid w:val="0081152E"/>
    <w:rsid w:val="0081468D"/>
    <w:rsid w:val="00816612"/>
    <w:rsid w:val="00825DB4"/>
    <w:rsid w:val="00826747"/>
    <w:rsid w:val="00830680"/>
    <w:rsid w:val="00830733"/>
    <w:rsid w:val="008336F2"/>
    <w:rsid w:val="00835D5E"/>
    <w:rsid w:val="00841B6B"/>
    <w:rsid w:val="00842B18"/>
    <w:rsid w:val="00844948"/>
    <w:rsid w:val="00853A9F"/>
    <w:rsid w:val="00853F0F"/>
    <w:rsid w:val="00856232"/>
    <w:rsid w:val="00861690"/>
    <w:rsid w:val="00866956"/>
    <w:rsid w:val="00876258"/>
    <w:rsid w:val="00877678"/>
    <w:rsid w:val="00897924"/>
    <w:rsid w:val="008A7BC5"/>
    <w:rsid w:val="008B25AC"/>
    <w:rsid w:val="008B3230"/>
    <w:rsid w:val="008B34C2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5DB5"/>
    <w:rsid w:val="008F6B10"/>
    <w:rsid w:val="0090059C"/>
    <w:rsid w:val="0090343C"/>
    <w:rsid w:val="00904F1F"/>
    <w:rsid w:val="0091298D"/>
    <w:rsid w:val="0091670F"/>
    <w:rsid w:val="009204B7"/>
    <w:rsid w:val="00921972"/>
    <w:rsid w:val="00923331"/>
    <w:rsid w:val="00923EA5"/>
    <w:rsid w:val="00924C6F"/>
    <w:rsid w:val="00933218"/>
    <w:rsid w:val="00937FF5"/>
    <w:rsid w:val="00941E95"/>
    <w:rsid w:val="00943E12"/>
    <w:rsid w:val="009463EE"/>
    <w:rsid w:val="009469CB"/>
    <w:rsid w:val="009469F1"/>
    <w:rsid w:val="009506D1"/>
    <w:rsid w:val="009535DE"/>
    <w:rsid w:val="00954285"/>
    <w:rsid w:val="009554B9"/>
    <w:rsid w:val="0096258D"/>
    <w:rsid w:val="00963B5A"/>
    <w:rsid w:val="00966F33"/>
    <w:rsid w:val="0097289C"/>
    <w:rsid w:val="009732B4"/>
    <w:rsid w:val="009765C4"/>
    <w:rsid w:val="009812C3"/>
    <w:rsid w:val="00981BC0"/>
    <w:rsid w:val="00991070"/>
    <w:rsid w:val="00993ABC"/>
    <w:rsid w:val="00993F8A"/>
    <w:rsid w:val="0099450C"/>
    <w:rsid w:val="00997817"/>
    <w:rsid w:val="009A0159"/>
    <w:rsid w:val="009A3613"/>
    <w:rsid w:val="009A777F"/>
    <w:rsid w:val="009B0A26"/>
    <w:rsid w:val="009B2B0B"/>
    <w:rsid w:val="009B6D9A"/>
    <w:rsid w:val="009B7BE3"/>
    <w:rsid w:val="009C38D8"/>
    <w:rsid w:val="009C73D8"/>
    <w:rsid w:val="009C7CD3"/>
    <w:rsid w:val="009D10D4"/>
    <w:rsid w:val="009D144A"/>
    <w:rsid w:val="009D165F"/>
    <w:rsid w:val="009D2C89"/>
    <w:rsid w:val="009D345C"/>
    <w:rsid w:val="009E079C"/>
    <w:rsid w:val="009E56FC"/>
    <w:rsid w:val="009F374A"/>
    <w:rsid w:val="009F4CF7"/>
    <w:rsid w:val="00A02372"/>
    <w:rsid w:val="00A149DF"/>
    <w:rsid w:val="00A17932"/>
    <w:rsid w:val="00A17A5A"/>
    <w:rsid w:val="00A2521B"/>
    <w:rsid w:val="00A26CDE"/>
    <w:rsid w:val="00A30483"/>
    <w:rsid w:val="00A32CAC"/>
    <w:rsid w:val="00A3785B"/>
    <w:rsid w:val="00A43064"/>
    <w:rsid w:val="00A54CA5"/>
    <w:rsid w:val="00A55294"/>
    <w:rsid w:val="00A640A4"/>
    <w:rsid w:val="00A67209"/>
    <w:rsid w:val="00A727C6"/>
    <w:rsid w:val="00A77C2C"/>
    <w:rsid w:val="00A77D13"/>
    <w:rsid w:val="00A77DC7"/>
    <w:rsid w:val="00A80DA2"/>
    <w:rsid w:val="00A85088"/>
    <w:rsid w:val="00A94FB2"/>
    <w:rsid w:val="00A95B08"/>
    <w:rsid w:val="00AA0E0E"/>
    <w:rsid w:val="00AB37A2"/>
    <w:rsid w:val="00AC436B"/>
    <w:rsid w:val="00AD3C7C"/>
    <w:rsid w:val="00AD417A"/>
    <w:rsid w:val="00AE0C90"/>
    <w:rsid w:val="00AE6C6A"/>
    <w:rsid w:val="00AE7B5D"/>
    <w:rsid w:val="00AF5061"/>
    <w:rsid w:val="00AF6A2C"/>
    <w:rsid w:val="00AF6C25"/>
    <w:rsid w:val="00B004DA"/>
    <w:rsid w:val="00B01702"/>
    <w:rsid w:val="00B11AC9"/>
    <w:rsid w:val="00B12643"/>
    <w:rsid w:val="00B17B20"/>
    <w:rsid w:val="00B17EF6"/>
    <w:rsid w:val="00B223E9"/>
    <w:rsid w:val="00B265E9"/>
    <w:rsid w:val="00B306FB"/>
    <w:rsid w:val="00B35CB4"/>
    <w:rsid w:val="00B436DC"/>
    <w:rsid w:val="00B577BF"/>
    <w:rsid w:val="00B64715"/>
    <w:rsid w:val="00B6526B"/>
    <w:rsid w:val="00B66BB2"/>
    <w:rsid w:val="00B67E71"/>
    <w:rsid w:val="00B72E68"/>
    <w:rsid w:val="00B80276"/>
    <w:rsid w:val="00B8105D"/>
    <w:rsid w:val="00B812C5"/>
    <w:rsid w:val="00B86F28"/>
    <w:rsid w:val="00B9424D"/>
    <w:rsid w:val="00B94404"/>
    <w:rsid w:val="00B960CE"/>
    <w:rsid w:val="00BA2636"/>
    <w:rsid w:val="00BA5357"/>
    <w:rsid w:val="00BA5B7E"/>
    <w:rsid w:val="00BB0CCD"/>
    <w:rsid w:val="00BB27A3"/>
    <w:rsid w:val="00BC0B2C"/>
    <w:rsid w:val="00BC1441"/>
    <w:rsid w:val="00BC34E2"/>
    <w:rsid w:val="00BC79A1"/>
    <w:rsid w:val="00BD0322"/>
    <w:rsid w:val="00BD2C28"/>
    <w:rsid w:val="00BD2CAD"/>
    <w:rsid w:val="00BD6EE6"/>
    <w:rsid w:val="00BE0F19"/>
    <w:rsid w:val="00C01E07"/>
    <w:rsid w:val="00C01E66"/>
    <w:rsid w:val="00C058F6"/>
    <w:rsid w:val="00C12E80"/>
    <w:rsid w:val="00C138EA"/>
    <w:rsid w:val="00C17676"/>
    <w:rsid w:val="00C2599E"/>
    <w:rsid w:val="00C35705"/>
    <w:rsid w:val="00C364CA"/>
    <w:rsid w:val="00C365CD"/>
    <w:rsid w:val="00C42A5D"/>
    <w:rsid w:val="00C42FCA"/>
    <w:rsid w:val="00C4488A"/>
    <w:rsid w:val="00C46DA1"/>
    <w:rsid w:val="00C474E5"/>
    <w:rsid w:val="00C51372"/>
    <w:rsid w:val="00C516B3"/>
    <w:rsid w:val="00C54C91"/>
    <w:rsid w:val="00C60DE9"/>
    <w:rsid w:val="00C63F7A"/>
    <w:rsid w:val="00C646C5"/>
    <w:rsid w:val="00C64D34"/>
    <w:rsid w:val="00C773AC"/>
    <w:rsid w:val="00C8391D"/>
    <w:rsid w:val="00C84720"/>
    <w:rsid w:val="00C85404"/>
    <w:rsid w:val="00C879C5"/>
    <w:rsid w:val="00C9021F"/>
    <w:rsid w:val="00C94716"/>
    <w:rsid w:val="00C960A8"/>
    <w:rsid w:val="00CA01ED"/>
    <w:rsid w:val="00CA39AC"/>
    <w:rsid w:val="00CB1C45"/>
    <w:rsid w:val="00CB476E"/>
    <w:rsid w:val="00CC0827"/>
    <w:rsid w:val="00CC4A3F"/>
    <w:rsid w:val="00CD395E"/>
    <w:rsid w:val="00CD5638"/>
    <w:rsid w:val="00CE01AC"/>
    <w:rsid w:val="00D02FD3"/>
    <w:rsid w:val="00D207EB"/>
    <w:rsid w:val="00D47418"/>
    <w:rsid w:val="00D51EFE"/>
    <w:rsid w:val="00D5328E"/>
    <w:rsid w:val="00D54968"/>
    <w:rsid w:val="00D54BAF"/>
    <w:rsid w:val="00D61D99"/>
    <w:rsid w:val="00D64B87"/>
    <w:rsid w:val="00D73235"/>
    <w:rsid w:val="00D75E60"/>
    <w:rsid w:val="00D764B0"/>
    <w:rsid w:val="00D774B6"/>
    <w:rsid w:val="00D77722"/>
    <w:rsid w:val="00D80EF7"/>
    <w:rsid w:val="00D80F15"/>
    <w:rsid w:val="00D86B63"/>
    <w:rsid w:val="00D959F0"/>
    <w:rsid w:val="00DA0BDA"/>
    <w:rsid w:val="00DA14DF"/>
    <w:rsid w:val="00DA397C"/>
    <w:rsid w:val="00DB1F7E"/>
    <w:rsid w:val="00DB3B3A"/>
    <w:rsid w:val="00DC50FB"/>
    <w:rsid w:val="00DC52A1"/>
    <w:rsid w:val="00DC6CC6"/>
    <w:rsid w:val="00DD22F5"/>
    <w:rsid w:val="00DD6464"/>
    <w:rsid w:val="00DD71FA"/>
    <w:rsid w:val="00DE109B"/>
    <w:rsid w:val="00DE3306"/>
    <w:rsid w:val="00E006E2"/>
    <w:rsid w:val="00E02831"/>
    <w:rsid w:val="00E140DD"/>
    <w:rsid w:val="00E16814"/>
    <w:rsid w:val="00E20263"/>
    <w:rsid w:val="00E20BE8"/>
    <w:rsid w:val="00E2550E"/>
    <w:rsid w:val="00E278AB"/>
    <w:rsid w:val="00E33206"/>
    <w:rsid w:val="00E40F21"/>
    <w:rsid w:val="00E435AF"/>
    <w:rsid w:val="00E447E5"/>
    <w:rsid w:val="00E457AA"/>
    <w:rsid w:val="00E458D8"/>
    <w:rsid w:val="00E4688E"/>
    <w:rsid w:val="00E46B29"/>
    <w:rsid w:val="00E625BB"/>
    <w:rsid w:val="00E72ADD"/>
    <w:rsid w:val="00E7344F"/>
    <w:rsid w:val="00E73CE7"/>
    <w:rsid w:val="00E75DB5"/>
    <w:rsid w:val="00E7760E"/>
    <w:rsid w:val="00E840E1"/>
    <w:rsid w:val="00E85332"/>
    <w:rsid w:val="00E859CB"/>
    <w:rsid w:val="00E94977"/>
    <w:rsid w:val="00E949F7"/>
    <w:rsid w:val="00E95180"/>
    <w:rsid w:val="00E97B6F"/>
    <w:rsid w:val="00EA063F"/>
    <w:rsid w:val="00EA1C4F"/>
    <w:rsid w:val="00EA1DA9"/>
    <w:rsid w:val="00EB037C"/>
    <w:rsid w:val="00EB2467"/>
    <w:rsid w:val="00EB36F5"/>
    <w:rsid w:val="00EB711D"/>
    <w:rsid w:val="00EC3316"/>
    <w:rsid w:val="00EC3AE3"/>
    <w:rsid w:val="00EC43D9"/>
    <w:rsid w:val="00EC4B82"/>
    <w:rsid w:val="00EC76CB"/>
    <w:rsid w:val="00ED127F"/>
    <w:rsid w:val="00ED7183"/>
    <w:rsid w:val="00EE23DA"/>
    <w:rsid w:val="00EE2FBB"/>
    <w:rsid w:val="00EE3BD7"/>
    <w:rsid w:val="00EE6064"/>
    <w:rsid w:val="00EF05D3"/>
    <w:rsid w:val="00EF29CB"/>
    <w:rsid w:val="00EF763B"/>
    <w:rsid w:val="00EF76FE"/>
    <w:rsid w:val="00EF7932"/>
    <w:rsid w:val="00F06EEC"/>
    <w:rsid w:val="00F11332"/>
    <w:rsid w:val="00F11EC9"/>
    <w:rsid w:val="00F164EF"/>
    <w:rsid w:val="00F16E95"/>
    <w:rsid w:val="00F205B5"/>
    <w:rsid w:val="00F20ED3"/>
    <w:rsid w:val="00F218AC"/>
    <w:rsid w:val="00F245C5"/>
    <w:rsid w:val="00F3117A"/>
    <w:rsid w:val="00F31457"/>
    <w:rsid w:val="00F32DDA"/>
    <w:rsid w:val="00F3354D"/>
    <w:rsid w:val="00F34411"/>
    <w:rsid w:val="00F36F6C"/>
    <w:rsid w:val="00F42FE6"/>
    <w:rsid w:val="00F45222"/>
    <w:rsid w:val="00F46FB5"/>
    <w:rsid w:val="00F563A8"/>
    <w:rsid w:val="00F57C79"/>
    <w:rsid w:val="00F60B3F"/>
    <w:rsid w:val="00F61C46"/>
    <w:rsid w:val="00F61D65"/>
    <w:rsid w:val="00F64C9E"/>
    <w:rsid w:val="00F6655A"/>
    <w:rsid w:val="00F66CEC"/>
    <w:rsid w:val="00F70B90"/>
    <w:rsid w:val="00F70E87"/>
    <w:rsid w:val="00F7403F"/>
    <w:rsid w:val="00F752D5"/>
    <w:rsid w:val="00F81585"/>
    <w:rsid w:val="00F9085C"/>
    <w:rsid w:val="00F92FA0"/>
    <w:rsid w:val="00F940CA"/>
    <w:rsid w:val="00F9433A"/>
    <w:rsid w:val="00F96A2C"/>
    <w:rsid w:val="00FA427B"/>
    <w:rsid w:val="00FA47CF"/>
    <w:rsid w:val="00FB0C5B"/>
    <w:rsid w:val="00FB0F06"/>
    <w:rsid w:val="00FB12E6"/>
    <w:rsid w:val="00FB3B15"/>
    <w:rsid w:val="00FB6FC2"/>
    <w:rsid w:val="00FC0210"/>
    <w:rsid w:val="00FC4A7F"/>
    <w:rsid w:val="00FC4E85"/>
    <w:rsid w:val="00FC5D5E"/>
    <w:rsid w:val="00FC6A5D"/>
    <w:rsid w:val="00FE39C1"/>
    <w:rsid w:val="00FF11FE"/>
    <w:rsid w:val="00FF323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692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cnarvaez\Desktop\grid_vw_reporte_visita_atencion%20(1)%20sim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Hoja1!$C$7:$C$14</c:f>
              <c:strCache>
                <c:ptCount val="8"/>
                <c:pt idx="0">
                  <c:v>DIRECCION DE MEJORAMIENTO DE BARRIOS</c:v>
                </c:pt>
                <c:pt idx="1">
                  <c:v>DIRECCION DE MEJORAMIENTO DE VIVIENDA</c:v>
                </c:pt>
                <c:pt idx="2">
                  <c:v>DIRECCION DE REASENTAMIENTOS</c:v>
                </c:pt>
                <c:pt idx="3">
                  <c:v>DIRECCION DE URBANIZACIONES Y TITULACION</c:v>
                </c:pt>
                <c:pt idx="4">
                  <c:v>DIRECCION GENERAL</c:v>
                </c:pt>
                <c:pt idx="5">
                  <c:v>SUBDIRECCION ADMINISTRATIVA</c:v>
                </c:pt>
                <c:pt idx="6">
                  <c:v>SUBDIRECCION FINANCIERA</c:v>
                </c:pt>
                <c:pt idx="7">
                  <c:v>TOTAL</c:v>
                </c:pt>
              </c:strCache>
            </c:strRef>
          </c:cat>
          <c:val>
            <c:numRef>
              <c:f>Hoja1!$D$7:$D$14</c:f>
              <c:numCache>
                <c:formatCode>General</c:formatCode>
                <c:ptCount val="8"/>
                <c:pt idx="0">
                  <c:v>4</c:v>
                </c:pt>
                <c:pt idx="1">
                  <c:v>254</c:v>
                </c:pt>
                <c:pt idx="2">
                  <c:v>1312</c:v>
                </c:pt>
                <c:pt idx="3">
                  <c:v>440</c:v>
                </c:pt>
                <c:pt idx="4">
                  <c:v>2</c:v>
                </c:pt>
                <c:pt idx="5">
                  <c:v>2</c:v>
                </c:pt>
                <c:pt idx="6">
                  <c:v>30</c:v>
                </c:pt>
                <c:pt idx="7">
                  <c:v>2044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410944"/>
        <c:axId val="46215104"/>
        <c:axId val="0"/>
      </c:bar3DChart>
      <c:catAx>
        <c:axId val="147410944"/>
        <c:scaling>
          <c:orientation val="minMax"/>
        </c:scaling>
        <c:delete val="0"/>
        <c:axPos val="l"/>
        <c:majorTickMark val="out"/>
        <c:minorTickMark val="none"/>
        <c:tickLblPos val="nextTo"/>
        <c:crossAx val="46215104"/>
        <c:crosses val="autoZero"/>
        <c:auto val="1"/>
        <c:lblAlgn val="ctr"/>
        <c:lblOffset val="100"/>
        <c:noMultiLvlLbl val="0"/>
      </c:catAx>
      <c:valAx>
        <c:axId val="462151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410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DICIEMBRE 2019</a:t>
            </a:r>
          </a:p>
        </c:rich>
      </c:tx>
      <c:overlay val="0"/>
    </c:title>
    <c:autoTitleDeleted val="0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Tablas'!$B$94</c:f>
              <c:strCache>
                <c:ptCount val="1"/>
                <c:pt idx="0">
                  <c:v>CANTIDAD DE CIUDADANOS ATENDIDOS POR DEPENDENCIAS - NOVIEMBRE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Lbls>
            <c:dLbl>
              <c:idx val="0"/>
              <c:layout>
                <c:manualLayout>
                  <c:x val="0.13663636045494312"/>
                  <c:y val="-0.179909912251067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DE MEJORAMIENTO DE VIVIENDA
12,43%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DE REASENTAMIENTOS
64,19%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DE URBANIZACIONES Y TITULACION
21,53%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SUBDIRECCION FINANCIERA
1,47%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7555555555555549E-2"/>
                  <c:y val="6.6980117900597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DE MEJORAMIENTO DE BARRIOS
0,20%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SUBDIRECCION ADMINISTRATIVA
0,10%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2917725284339457"/>
                  <c:y val="6.9454353349601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GENERAL
0,10%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39378869641294839"/>
                  <c:y val="-7.01724121940587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DIRECCION DE GESTION CORPORATIVA Y CID
0,20%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'Gráficas &amp; Tablas'!$A$95:$A$102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  <c:pt idx="6">
                  <c:v>DIRECCION DE JURIDICA</c:v>
                </c:pt>
                <c:pt idx="7">
                  <c:v>DIRECCION DE GESTION CORPORATIVA Y CID</c:v>
                </c:pt>
              </c:strCache>
            </c:strRef>
          </c:cat>
          <c:val>
            <c:numRef>
              <c:f>'Gráficas &amp; Tablas'!$B$95:$B$102</c:f>
              <c:numCache>
                <c:formatCode>General</c:formatCode>
                <c:ptCount val="8"/>
                <c:pt idx="0">
                  <c:v>430</c:v>
                </c:pt>
                <c:pt idx="1">
                  <c:v>1211</c:v>
                </c:pt>
                <c:pt idx="2">
                  <c:v>665</c:v>
                </c:pt>
                <c:pt idx="3">
                  <c:v>25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Tablas'!$B$87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97,62%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en-US" sz="1200" b="1">
                        <a:solidFill>
                          <a:srgbClr val="FF0000"/>
                        </a:solidFill>
                      </a:rPr>
                      <a:t>2,38%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'Gráficas &amp; Tablas'!$A$88:$A$91</c:f>
              <c:strCache>
                <c:ptCount val="4"/>
                <c:pt idx="0">
                  <c:v>CONTESTADAS</c:v>
                </c:pt>
                <c:pt idx="1">
                  <c:v>NO CONTESTADAS</c:v>
                </c:pt>
                <c:pt idx="2">
                  <c:v>OCUPADA</c:v>
                </c:pt>
                <c:pt idx="3">
                  <c:v>TOTAL</c:v>
                </c:pt>
              </c:strCache>
            </c:strRef>
          </c:cat>
          <c:val>
            <c:numRef>
              <c:f>'Gráficas &amp; Tablas'!$B$88:$B$91</c:f>
              <c:numCache>
                <c:formatCode>General</c:formatCode>
                <c:ptCount val="4"/>
                <c:pt idx="0">
                  <c:v>91</c:v>
                </c:pt>
                <c:pt idx="1">
                  <c:v>7</c:v>
                </c:pt>
                <c:pt idx="2">
                  <c:v>5</c:v>
                </c:pt>
                <c:pt idx="3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50824448"/>
        <c:axId val="156085056"/>
        <c:axId val="0"/>
      </c:bar3DChart>
      <c:catAx>
        <c:axId val="150824448"/>
        <c:scaling>
          <c:orientation val="minMax"/>
        </c:scaling>
        <c:delete val="1"/>
        <c:axPos val="b"/>
        <c:majorTickMark val="out"/>
        <c:minorTickMark val="none"/>
        <c:tickLblPos val="nextTo"/>
        <c:crossAx val="156085056"/>
        <c:crosses val="autoZero"/>
        <c:auto val="1"/>
        <c:lblAlgn val="ctr"/>
        <c:lblOffset val="100"/>
        <c:noMultiLvlLbl val="0"/>
      </c:catAx>
      <c:valAx>
        <c:axId val="1560850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150824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DICIEMBRE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5562655686714882"/>
          <c:y val="3.5752824883526539E-2"/>
        </c:manualLayout>
      </c:layout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37707222081110831"/>
          <c:y val="0.17938599780290621"/>
          <c:w val="0.68669902373314451"/>
          <c:h val="0.67249763436992882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'Gráficas &amp; Tablas'!$A$73:$A$79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SUBDIRECCION ADMINISTRATIVA</c:v>
                </c:pt>
                <c:pt idx="5">
                  <c:v>DIRECCION DE GESTION CORPORATIVA Y CID</c:v>
                </c:pt>
                <c:pt idx="6">
                  <c:v>TOTAL</c:v>
                </c:pt>
              </c:strCache>
            </c:strRef>
          </c:cat>
          <c:val>
            <c:numRef>
              <c:f>'Gráficas &amp; Tablas'!$B$73:$B$79</c:f>
              <c:numCache>
                <c:formatCode>General</c:formatCode>
                <c:ptCount val="7"/>
                <c:pt idx="0">
                  <c:v>21</c:v>
                </c:pt>
                <c:pt idx="1">
                  <c:v>54</c:v>
                </c:pt>
                <c:pt idx="2">
                  <c:v>20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47411968"/>
        <c:axId val="156088512"/>
        <c:axId val="0"/>
      </c:bar3DChart>
      <c:catAx>
        <c:axId val="147411968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156088512"/>
        <c:crosses val="autoZero"/>
        <c:auto val="1"/>
        <c:lblAlgn val="ctr"/>
        <c:lblOffset val="100"/>
        <c:noMultiLvlLbl val="0"/>
      </c:catAx>
      <c:valAx>
        <c:axId val="1560885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7411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0.08614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267231" cy="30482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497C-3B9C-4E0C-83A8-5C6E9F4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2003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4</cp:revision>
  <cp:lastPrinted>2020-01-02T12:35:00Z</cp:lastPrinted>
  <dcterms:created xsi:type="dcterms:W3CDTF">2019-12-31T15:49:00Z</dcterms:created>
  <dcterms:modified xsi:type="dcterms:W3CDTF">2020-01-02T12:36:00Z</dcterms:modified>
</cp:coreProperties>
</file>