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318BC" w14:textId="77777777" w:rsidR="00F32DDA" w:rsidRPr="00F2020A" w:rsidRDefault="00F32DDA" w:rsidP="00F32DDA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F2020A">
        <w:rPr>
          <w:rFonts w:ascii="Arial" w:hAnsi="Arial" w:cs="Arial"/>
          <w:b/>
          <w:sz w:val="28"/>
          <w:szCs w:val="28"/>
          <w:lang w:val="es-ES"/>
        </w:rPr>
        <w:t xml:space="preserve">INFORME DE </w:t>
      </w:r>
      <w:r w:rsidRPr="00F2020A">
        <w:rPr>
          <w:rFonts w:ascii="Arial" w:hAnsi="Arial" w:cs="Arial"/>
          <w:b/>
          <w:sz w:val="28"/>
          <w:szCs w:val="28"/>
        </w:rPr>
        <w:t xml:space="preserve">ASISTENCIA POR CANALES DE ATENCIÓN </w:t>
      </w:r>
    </w:p>
    <w:p w14:paraId="50E8BA64" w14:textId="77777777" w:rsidR="00F32DDA" w:rsidRPr="00F2020A" w:rsidRDefault="00F32DDA" w:rsidP="00F32DDA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CAJA DE LA VIVIENDA POPULAR</w:t>
      </w:r>
    </w:p>
    <w:p w14:paraId="0B435CDB" w14:textId="77777777" w:rsidR="00F32DDA" w:rsidRPr="00F2020A" w:rsidRDefault="00F32DDA" w:rsidP="00F32D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020A">
        <w:rPr>
          <w:rFonts w:ascii="Arial" w:hAnsi="Arial" w:cs="Arial"/>
          <w:b/>
          <w:sz w:val="24"/>
          <w:szCs w:val="24"/>
        </w:rPr>
        <w:t>SERVICIO AL CIUDADANO</w:t>
      </w:r>
    </w:p>
    <w:p w14:paraId="324DFED3" w14:textId="77777777" w:rsidR="00F32DDA" w:rsidRPr="00F2020A" w:rsidRDefault="00F32DDA" w:rsidP="00F32DDA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MES DE NOVIEMBRE</w:t>
      </w:r>
      <w:r w:rsidRPr="00F2020A">
        <w:rPr>
          <w:rFonts w:ascii="Arial" w:hAnsi="Arial" w:cs="Arial"/>
          <w:b/>
          <w:sz w:val="24"/>
          <w:szCs w:val="24"/>
        </w:rPr>
        <w:t xml:space="preserve"> DE 201</w:t>
      </w:r>
      <w:r>
        <w:rPr>
          <w:rFonts w:ascii="Arial" w:hAnsi="Arial" w:cs="Arial"/>
          <w:b/>
          <w:sz w:val="24"/>
          <w:szCs w:val="24"/>
        </w:rPr>
        <w:t>9</w:t>
      </w:r>
    </w:p>
    <w:p w14:paraId="7535A024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b/>
        </w:rPr>
      </w:pPr>
    </w:p>
    <w:p w14:paraId="254D8DD3" w14:textId="77777777" w:rsidR="00F32DDA" w:rsidRPr="00EC26D5" w:rsidRDefault="00F32DDA" w:rsidP="00F32DDA">
      <w:pPr>
        <w:spacing w:after="0" w:line="240" w:lineRule="auto"/>
        <w:jc w:val="center"/>
        <w:rPr>
          <w:rFonts w:ascii="Arial" w:hAnsi="Arial" w:cs="Arial"/>
          <w:b/>
        </w:rPr>
      </w:pPr>
    </w:p>
    <w:p w14:paraId="2B469E29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  <w:r w:rsidRPr="00EC26D5">
        <w:rPr>
          <w:rFonts w:ascii="Arial" w:hAnsi="Arial" w:cs="Arial"/>
          <w:lang w:val="es-ES"/>
        </w:rPr>
        <w:t>Fecha</w:t>
      </w:r>
      <w:r w:rsidRPr="009672E0">
        <w:rPr>
          <w:rFonts w:ascii="Arial" w:hAnsi="Arial" w:cs="Arial"/>
          <w:lang w:val="es-ES"/>
        </w:rPr>
        <w:t>:</w:t>
      </w:r>
      <w:r w:rsidRPr="009672E0">
        <w:rPr>
          <w:rFonts w:ascii="Arial" w:hAnsi="Arial" w:cs="Arial"/>
          <w:color w:val="808080"/>
          <w:lang w:val="es-ES"/>
        </w:rPr>
        <w:t xml:space="preserve"> (</w:t>
      </w:r>
      <w:r>
        <w:rPr>
          <w:rFonts w:ascii="Arial" w:hAnsi="Arial" w:cs="Arial"/>
          <w:color w:val="808080"/>
          <w:lang w:val="es-ES"/>
        </w:rPr>
        <w:t>9 de diciembre del 2019</w:t>
      </w:r>
      <w:r w:rsidRPr="00EC26D5">
        <w:rPr>
          <w:rFonts w:ascii="Arial" w:hAnsi="Arial" w:cs="Arial"/>
          <w:color w:val="808080"/>
          <w:lang w:val="es-ES"/>
        </w:rPr>
        <w:t>)</w:t>
      </w:r>
    </w:p>
    <w:p w14:paraId="4F2E61D0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416B3703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color w:val="808080"/>
          <w:lang w:val="es-ES"/>
        </w:rPr>
      </w:pPr>
    </w:p>
    <w:p w14:paraId="492A4EB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bookmarkStart w:id="1" w:name="_Hlk513708617"/>
      <w:r>
        <w:rPr>
          <w:rFonts w:ascii="Arial" w:hAnsi="Arial" w:cs="Arial"/>
        </w:rPr>
        <w:t xml:space="preserve">El proceso de </w:t>
      </w:r>
      <w:r w:rsidRPr="00EC26D5">
        <w:rPr>
          <w:rFonts w:ascii="Arial" w:hAnsi="Arial" w:cs="Arial"/>
        </w:rPr>
        <w:t>Servicio al Ciudadano de la Caja de la Vivienda Popular informa</w:t>
      </w:r>
      <w:r>
        <w:rPr>
          <w:rFonts w:ascii="Arial" w:hAnsi="Arial" w:cs="Arial"/>
        </w:rPr>
        <w:t xml:space="preserve"> sobre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trazabilidad realizada a</w:t>
      </w:r>
      <w:r w:rsidRPr="00EC26D5">
        <w:rPr>
          <w:rFonts w:ascii="Arial" w:hAnsi="Arial" w:cs="Arial"/>
        </w:rPr>
        <w:t xml:space="preserve"> los ciudadanos que </w:t>
      </w:r>
      <w:r>
        <w:rPr>
          <w:rFonts w:ascii="Arial" w:hAnsi="Arial" w:cs="Arial"/>
        </w:rPr>
        <w:t>solicitaron a la entidad información</w:t>
      </w:r>
      <w:r w:rsidRPr="00EC2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sobre sus </w:t>
      </w:r>
      <w:r w:rsidRPr="00EC26D5">
        <w:rPr>
          <w:rFonts w:ascii="Arial" w:hAnsi="Arial" w:cs="Arial"/>
        </w:rPr>
        <w:t>servicios</w:t>
      </w:r>
      <w:r>
        <w:rPr>
          <w:rFonts w:ascii="Arial" w:hAnsi="Arial" w:cs="Arial"/>
        </w:rPr>
        <w:t xml:space="preserve"> o que asistieron para realizar algún trámite </w:t>
      </w:r>
      <w:r w:rsidRPr="00EC26D5">
        <w:rPr>
          <w:rFonts w:ascii="Arial" w:hAnsi="Arial" w:cs="Arial"/>
        </w:rPr>
        <w:t>que brinda la entidad</w:t>
      </w:r>
      <w:r>
        <w:rPr>
          <w:rFonts w:ascii="Arial" w:hAnsi="Arial" w:cs="Arial"/>
        </w:rPr>
        <w:t xml:space="preserve"> </w:t>
      </w:r>
      <w:r w:rsidRPr="00EC26D5">
        <w:rPr>
          <w:rFonts w:ascii="Arial" w:hAnsi="Arial" w:cs="Arial"/>
        </w:rPr>
        <w:t xml:space="preserve">durante el mes de </w:t>
      </w:r>
      <w:r>
        <w:rPr>
          <w:rFonts w:ascii="Arial" w:hAnsi="Arial" w:cs="Arial"/>
        </w:rPr>
        <w:t xml:space="preserve">noviembre </w:t>
      </w:r>
      <w:r w:rsidRPr="00AC57C0">
        <w:rPr>
          <w:rFonts w:ascii="Arial" w:hAnsi="Arial" w:cs="Arial"/>
        </w:rPr>
        <w:t>de 201</w:t>
      </w:r>
      <w:r>
        <w:rPr>
          <w:rFonts w:ascii="Arial" w:hAnsi="Arial" w:cs="Arial"/>
        </w:rPr>
        <w:t>9</w:t>
      </w:r>
      <w:r w:rsidRPr="00AC57C0">
        <w:rPr>
          <w:rFonts w:ascii="Arial" w:hAnsi="Arial" w:cs="Arial"/>
        </w:rPr>
        <w:t>.</w:t>
      </w:r>
    </w:p>
    <w:bookmarkEnd w:id="1"/>
    <w:p w14:paraId="771BDB5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2BB60C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información aquí plasmada para canal presencial fue obtenida de la herramienta </w:t>
      </w:r>
      <w:r w:rsidRPr="007C7BCF">
        <w:rPr>
          <w:rFonts w:ascii="Arial" w:hAnsi="Arial" w:cs="Arial"/>
        </w:rPr>
        <w:t>SIMA,</w:t>
      </w:r>
      <w:r>
        <w:rPr>
          <w:rFonts w:ascii="Arial" w:hAnsi="Arial" w:cs="Arial"/>
        </w:rPr>
        <w:t xml:space="preserve"> la cual</w:t>
      </w:r>
      <w:r w:rsidRPr="007C7BCF">
        <w:rPr>
          <w:rFonts w:ascii="Arial" w:hAnsi="Arial" w:cs="Arial"/>
        </w:rPr>
        <w:t xml:space="preserve"> permite registrar </w:t>
      </w:r>
      <w:r>
        <w:rPr>
          <w:rFonts w:ascii="Arial" w:hAnsi="Arial" w:cs="Arial"/>
        </w:rPr>
        <w:t xml:space="preserve">y caracterizar </w:t>
      </w:r>
      <w:r w:rsidRPr="007C7BCF">
        <w:rPr>
          <w:rFonts w:ascii="Arial" w:hAnsi="Arial" w:cs="Arial"/>
        </w:rPr>
        <w:t>a cada uno de los ciudadanos que ingresan a la Caja de la Vivienda Popular</w:t>
      </w:r>
      <w:r>
        <w:rPr>
          <w:rFonts w:ascii="Arial" w:hAnsi="Arial" w:cs="Arial"/>
        </w:rPr>
        <w:t xml:space="preserve">. En la herramienta se digitan los </w:t>
      </w:r>
      <w:r w:rsidRPr="007C7BCF">
        <w:rPr>
          <w:rFonts w:ascii="Arial" w:hAnsi="Arial" w:cs="Arial"/>
        </w:rPr>
        <w:t>datos personales</w:t>
      </w:r>
      <w:r>
        <w:rPr>
          <w:rFonts w:ascii="Arial" w:hAnsi="Arial" w:cs="Arial"/>
        </w:rPr>
        <w:t xml:space="preserve"> del solicitante</w:t>
      </w:r>
      <w:r w:rsidRPr="007C7BCF">
        <w:rPr>
          <w:rFonts w:ascii="Arial" w:hAnsi="Arial" w:cs="Arial"/>
        </w:rPr>
        <w:t xml:space="preserve"> como </w:t>
      </w:r>
      <w:r>
        <w:rPr>
          <w:rFonts w:ascii="Arial" w:hAnsi="Arial" w:cs="Arial"/>
        </w:rPr>
        <w:t>e</w:t>
      </w:r>
      <w:r w:rsidRPr="007C7BC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(los) </w:t>
      </w:r>
      <w:r w:rsidRPr="007C7BCF">
        <w:rPr>
          <w:rFonts w:ascii="Arial" w:hAnsi="Arial" w:cs="Arial"/>
        </w:rPr>
        <w:t>nombre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</w:t>
      </w:r>
      <w:r w:rsidRPr="007C7BCF">
        <w:rPr>
          <w:rFonts w:ascii="Arial" w:hAnsi="Arial" w:cs="Arial"/>
        </w:rPr>
        <w:t xml:space="preserve"> y apellido</w:t>
      </w:r>
      <w:r>
        <w:rPr>
          <w:rFonts w:ascii="Arial" w:hAnsi="Arial" w:cs="Arial"/>
        </w:rPr>
        <w:t>(</w:t>
      </w:r>
      <w:r w:rsidRPr="007C7BCF">
        <w:rPr>
          <w:rFonts w:ascii="Arial" w:hAnsi="Arial" w:cs="Arial"/>
        </w:rPr>
        <w:t>s</w:t>
      </w:r>
      <w:r>
        <w:rPr>
          <w:rFonts w:ascii="Arial" w:hAnsi="Arial" w:cs="Arial"/>
        </w:rPr>
        <w:t>), tipo de identidad</w:t>
      </w:r>
      <w:r w:rsidRPr="007C7BC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número de identidad, </w:t>
      </w:r>
      <w:r w:rsidRPr="007C7BCF">
        <w:rPr>
          <w:rFonts w:ascii="Arial" w:hAnsi="Arial" w:cs="Arial"/>
        </w:rPr>
        <w:t>dirección</w:t>
      </w:r>
      <w:r>
        <w:rPr>
          <w:rFonts w:ascii="Arial" w:hAnsi="Arial" w:cs="Arial"/>
        </w:rPr>
        <w:t xml:space="preserve"> de residencia</w:t>
      </w:r>
      <w:r w:rsidRPr="007C7BCF">
        <w:rPr>
          <w:rFonts w:ascii="Arial" w:hAnsi="Arial" w:cs="Arial"/>
        </w:rPr>
        <w:t>, teléfono</w:t>
      </w:r>
      <w:r>
        <w:rPr>
          <w:rFonts w:ascii="Arial" w:hAnsi="Arial" w:cs="Arial"/>
        </w:rPr>
        <w:t xml:space="preserve"> de contacto</w:t>
      </w:r>
      <w:r w:rsidRPr="007C7BCF">
        <w:rPr>
          <w:rFonts w:ascii="Arial" w:hAnsi="Arial" w:cs="Arial"/>
        </w:rPr>
        <w:t>, género</w:t>
      </w:r>
      <w:r>
        <w:rPr>
          <w:rFonts w:ascii="Arial" w:hAnsi="Arial" w:cs="Arial"/>
        </w:rPr>
        <w:t>, entre otros datos. Los anteriores datos</w:t>
      </w:r>
      <w:r w:rsidRPr="007C7BCF">
        <w:rPr>
          <w:rFonts w:ascii="Arial" w:hAnsi="Arial" w:cs="Arial"/>
        </w:rPr>
        <w:t xml:space="preserve"> facilita</w:t>
      </w:r>
      <w:r>
        <w:rPr>
          <w:rFonts w:ascii="Arial" w:hAnsi="Arial" w:cs="Arial"/>
        </w:rPr>
        <w:t>n</w:t>
      </w:r>
      <w:r w:rsidRPr="007C7BCF">
        <w:rPr>
          <w:rFonts w:ascii="Arial" w:hAnsi="Arial" w:cs="Arial"/>
        </w:rPr>
        <w:t xml:space="preserve"> a cada una de las áreas </w:t>
      </w:r>
      <w:r>
        <w:rPr>
          <w:rFonts w:ascii="Arial" w:hAnsi="Arial" w:cs="Arial"/>
        </w:rPr>
        <w:t xml:space="preserve">de la entidad individualizar </w:t>
      </w:r>
      <w:r w:rsidRPr="007C7BCF">
        <w:rPr>
          <w:rFonts w:ascii="Arial" w:hAnsi="Arial" w:cs="Arial"/>
        </w:rPr>
        <w:t>a cada ciudadano</w:t>
      </w:r>
      <w:r>
        <w:rPr>
          <w:rFonts w:ascii="Arial" w:hAnsi="Arial" w:cs="Arial"/>
        </w:rPr>
        <w:t xml:space="preserve"> y así poder registrar</w:t>
      </w:r>
      <w:r w:rsidRPr="007C7B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 </w:t>
      </w:r>
      <w:r w:rsidRPr="007C7BCF">
        <w:rPr>
          <w:rFonts w:ascii="Arial" w:hAnsi="Arial" w:cs="Arial"/>
        </w:rPr>
        <w:t>solicitud, actualiza</w:t>
      </w:r>
      <w:r>
        <w:rPr>
          <w:rFonts w:ascii="Arial" w:hAnsi="Arial" w:cs="Arial"/>
        </w:rPr>
        <w:t xml:space="preserve">r sus </w:t>
      </w:r>
      <w:r w:rsidRPr="007C7BCF">
        <w:rPr>
          <w:rFonts w:ascii="Arial" w:hAnsi="Arial" w:cs="Arial"/>
        </w:rPr>
        <w:t xml:space="preserve">datos </w:t>
      </w:r>
      <w:r>
        <w:rPr>
          <w:rFonts w:ascii="Arial" w:hAnsi="Arial" w:cs="Arial"/>
        </w:rPr>
        <w:t xml:space="preserve">o </w:t>
      </w:r>
      <w:r w:rsidRPr="007C7BCF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uscar el estado de su </w:t>
      </w:r>
      <w:r w:rsidRPr="007C7BCF">
        <w:rPr>
          <w:rFonts w:ascii="Arial" w:hAnsi="Arial" w:cs="Arial"/>
        </w:rPr>
        <w:t>proceso</w:t>
      </w:r>
      <w:r>
        <w:rPr>
          <w:rFonts w:ascii="Arial" w:hAnsi="Arial" w:cs="Arial"/>
        </w:rPr>
        <w:t>.</w:t>
      </w:r>
    </w:p>
    <w:p w14:paraId="697D15B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EB6589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iguales condiciones se realiza el registro para el canal telefónico a través de la herramienta SIMA al momento de recibir las llamadas por la línea del conmutador (0) o las extensiones 160, 161, 163, 164 y 165; las cuales son atendidas o trasladadas dependiendo del tema que indique el ciudadano.</w:t>
      </w:r>
    </w:p>
    <w:p w14:paraId="347133D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5DE34D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9DFA5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F9AAF1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C3C792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701691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28BA7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185784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8637BC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2B91630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390F18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8F077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C1EFD6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1BEC651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6EDC7F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B1D2E8F" w14:textId="77777777" w:rsidR="00F32DDA" w:rsidRPr="001439DD" w:rsidRDefault="00F32DDA" w:rsidP="00F32DDA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1439DD">
        <w:rPr>
          <w:rFonts w:ascii="Arial" w:hAnsi="Arial" w:cs="Arial"/>
          <w:b/>
          <w:sz w:val="24"/>
          <w:szCs w:val="24"/>
          <w:u w:val="single"/>
        </w:rPr>
        <w:lastRenderedPageBreak/>
        <w:t>CANAL PRESENCIAL</w:t>
      </w:r>
    </w:p>
    <w:p w14:paraId="2990305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B9C48E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el periodo comprendido entre el 1 y el 30 de noviembre, se prestó la orientación y el direccionamiento a 2.343 </w:t>
      </w:r>
      <w:r w:rsidRPr="00EC26D5">
        <w:rPr>
          <w:rFonts w:ascii="Arial" w:hAnsi="Arial" w:cs="Arial"/>
        </w:rPr>
        <w:t>ciudadanos</w:t>
      </w:r>
      <w:r>
        <w:rPr>
          <w:rFonts w:ascii="Arial" w:hAnsi="Arial" w:cs="Arial"/>
        </w:rPr>
        <w:t>, c</w:t>
      </w:r>
      <w:r w:rsidRPr="00EC26D5">
        <w:rPr>
          <w:rFonts w:ascii="Arial" w:hAnsi="Arial" w:cs="Arial"/>
        </w:rPr>
        <w:t xml:space="preserve">on un promedio diario de </w:t>
      </w:r>
      <w:r>
        <w:rPr>
          <w:rFonts w:ascii="Arial" w:hAnsi="Arial" w:cs="Arial"/>
        </w:rPr>
        <w:t xml:space="preserve">atención a </w:t>
      </w:r>
      <w:r w:rsidRPr="00134CD4">
        <w:rPr>
          <w:rFonts w:ascii="Arial" w:hAnsi="Arial" w:cs="Arial"/>
        </w:rPr>
        <w:t>123</w:t>
      </w:r>
      <w:r>
        <w:rPr>
          <w:rFonts w:ascii="Arial" w:hAnsi="Arial" w:cs="Arial"/>
        </w:rPr>
        <w:t xml:space="preserve"> ciudadanos. </w:t>
      </w:r>
    </w:p>
    <w:p w14:paraId="55A5E66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8854D31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noProof/>
          <w:lang w:eastAsia="es-CO"/>
        </w:rPr>
        <w:drawing>
          <wp:inline distT="0" distB="0" distL="0" distR="0" wp14:anchorId="4417EBBE" wp14:editId="64BBBC0D">
            <wp:extent cx="5612130" cy="4225925"/>
            <wp:effectExtent l="0" t="0" r="26670" b="22225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EF451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>Cantidad de ciudadanos</w:t>
      </w:r>
      <w:r>
        <w:rPr>
          <w:rFonts w:ascii="Arial" w:hAnsi="Arial" w:cs="Arial"/>
          <w:sz w:val="16"/>
          <w:szCs w:val="16"/>
        </w:rPr>
        <w:t xml:space="preserve"> </w:t>
      </w:r>
      <w:r w:rsidRPr="00050FD7">
        <w:rPr>
          <w:rFonts w:ascii="Arial" w:hAnsi="Arial" w:cs="Arial"/>
          <w:sz w:val="16"/>
          <w:szCs w:val="16"/>
        </w:rPr>
        <w:t xml:space="preserve">atendidos por </w:t>
      </w:r>
      <w:r>
        <w:rPr>
          <w:rFonts w:ascii="Arial" w:hAnsi="Arial" w:cs="Arial"/>
          <w:sz w:val="16"/>
          <w:szCs w:val="16"/>
        </w:rPr>
        <w:t>dependencia</w:t>
      </w:r>
    </w:p>
    <w:p w14:paraId="523A599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238C1F0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18FC861" w14:textId="77777777" w:rsidR="00F32DDA" w:rsidRPr="001079BC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495294">
        <w:rPr>
          <w:rFonts w:ascii="Arial" w:hAnsi="Arial" w:cs="Arial"/>
        </w:rPr>
        <w:t xml:space="preserve">La asistencia durante el mes de </w:t>
      </w:r>
      <w:r>
        <w:rPr>
          <w:rFonts w:ascii="Arial" w:hAnsi="Arial" w:cs="Arial"/>
        </w:rPr>
        <w:t>noviembre</w:t>
      </w:r>
      <w:r w:rsidRPr="00495294">
        <w:rPr>
          <w:rFonts w:ascii="Arial" w:hAnsi="Arial" w:cs="Arial"/>
        </w:rPr>
        <w:t xml:space="preserve"> a la Caja de la Vivienda Popular se distribuyó así: </w:t>
      </w:r>
      <w:r>
        <w:rPr>
          <w:rFonts w:ascii="Arial" w:hAnsi="Arial" w:cs="Arial"/>
        </w:rPr>
        <w:t>51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69</w:t>
      </w:r>
      <w:r w:rsidRPr="00495294">
        <w:rPr>
          <w:rFonts w:ascii="Arial" w:hAnsi="Arial" w:cs="Arial"/>
        </w:rPr>
        <w:t xml:space="preserve">% para la Dirección de Reasentamientos Humanos, </w:t>
      </w:r>
      <w:r>
        <w:rPr>
          <w:rFonts w:ascii="Arial" w:hAnsi="Arial" w:cs="Arial"/>
        </w:rPr>
        <w:t>28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38</w:t>
      </w:r>
      <w:r w:rsidRPr="00495294">
        <w:rPr>
          <w:rFonts w:ascii="Arial" w:hAnsi="Arial" w:cs="Arial"/>
        </w:rPr>
        <w:t>% para la Dirección de</w:t>
      </w:r>
      <w:r>
        <w:rPr>
          <w:rFonts w:ascii="Arial" w:hAnsi="Arial" w:cs="Arial"/>
        </w:rPr>
        <w:t xml:space="preserve"> </w:t>
      </w:r>
      <w:r w:rsidRPr="00495294">
        <w:rPr>
          <w:rFonts w:ascii="Arial" w:hAnsi="Arial" w:cs="Arial"/>
        </w:rPr>
        <w:t>Dirección de</w:t>
      </w:r>
      <w:r>
        <w:rPr>
          <w:rFonts w:ascii="Arial" w:hAnsi="Arial" w:cs="Arial"/>
        </w:rPr>
        <w:t xml:space="preserve"> Urbanización y Titulación</w:t>
      </w:r>
      <w:r w:rsidRPr="00495294">
        <w:rPr>
          <w:rFonts w:ascii="Arial" w:hAnsi="Arial" w:cs="Arial"/>
        </w:rPr>
        <w:t xml:space="preserve"> y un </w:t>
      </w:r>
      <w:r>
        <w:rPr>
          <w:rFonts w:ascii="Arial" w:hAnsi="Arial" w:cs="Arial"/>
        </w:rPr>
        <w:t>18</w:t>
      </w:r>
      <w:r w:rsidRPr="00495294">
        <w:rPr>
          <w:rFonts w:ascii="Arial" w:hAnsi="Arial" w:cs="Arial"/>
        </w:rPr>
        <w:t>,</w:t>
      </w:r>
      <w:r>
        <w:rPr>
          <w:rFonts w:ascii="Arial" w:hAnsi="Arial" w:cs="Arial"/>
        </w:rPr>
        <w:t>35</w:t>
      </w:r>
      <w:r w:rsidRPr="00495294">
        <w:rPr>
          <w:rFonts w:ascii="Arial" w:hAnsi="Arial" w:cs="Arial"/>
        </w:rPr>
        <w:t>% para la</w:t>
      </w:r>
      <w:r>
        <w:rPr>
          <w:rFonts w:ascii="Arial" w:hAnsi="Arial" w:cs="Arial"/>
        </w:rPr>
        <w:t xml:space="preserve"> Dirección de </w:t>
      </w:r>
      <w:r w:rsidRPr="00495294">
        <w:rPr>
          <w:rFonts w:ascii="Arial" w:hAnsi="Arial" w:cs="Arial"/>
        </w:rPr>
        <w:t xml:space="preserve">Mejoramiento de Vivienda; siendo estas las áreas o dependencias de mayor demanda de atención con </w:t>
      </w:r>
      <w:r>
        <w:rPr>
          <w:rFonts w:ascii="Arial" w:hAnsi="Arial" w:cs="Arial"/>
        </w:rPr>
        <w:t>2</w:t>
      </w:r>
      <w:r w:rsidRPr="00495294">
        <w:rPr>
          <w:rFonts w:ascii="Arial" w:hAnsi="Arial" w:cs="Arial"/>
        </w:rPr>
        <w:t>.</w:t>
      </w:r>
      <w:r>
        <w:rPr>
          <w:rFonts w:ascii="Arial" w:hAnsi="Arial" w:cs="Arial"/>
        </w:rPr>
        <w:t>306</w:t>
      </w:r>
      <w:r w:rsidRPr="00495294">
        <w:rPr>
          <w:rFonts w:ascii="Arial" w:hAnsi="Arial" w:cs="Arial"/>
        </w:rPr>
        <w:t xml:space="preserve"> asistentes a la entidad.</w:t>
      </w:r>
    </w:p>
    <w:p w14:paraId="140713D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noProof/>
          <w:lang w:eastAsia="es-CO"/>
        </w:rPr>
      </w:pPr>
      <w:r>
        <w:rPr>
          <w:rFonts w:ascii="Arial" w:hAnsi="Arial" w:cs="Arial"/>
          <w:noProof/>
          <w:lang w:eastAsia="es-CO"/>
        </w:rPr>
        <w:tab/>
      </w:r>
      <w:r>
        <w:rPr>
          <w:rFonts w:ascii="Arial" w:hAnsi="Arial" w:cs="Arial"/>
          <w:noProof/>
          <w:lang w:eastAsia="es-CO"/>
        </w:rPr>
        <w:tab/>
      </w:r>
    </w:p>
    <w:p w14:paraId="6E9120CE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noProof/>
          <w:lang w:eastAsia="es-CO"/>
        </w:rPr>
      </w:pPr>
      <w:r>
        <w:rPr>
          <w:noProof/>
          <w:lang w:eastAsia="es-CO"/>
        </w:rPr>
        <w:lastRenderedPageBreak/>
        <w:drawing>
          <wp:inline distT="0" distB="0" distL="0" distR="0" wp14:anchorId="112A2B5F" wp14:editId="02AD8F1B">
            <wp:extent cx="5612130" cy="4235450"/>
            <wp:effectExtent l="0" t="0" r="26670" b="1270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A468C9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 w:rsidRPr="00050FD7">
        <w:rPr>
          <w:rFonts w:ascii="Arial" w:hAnsi="Arial" w:cs="Arial"/>
          <w:bCs/>
          <w:sz w:val="16"/>
          <w:szCs w:val="16"/>
          <w:lang w:val="es-ES"/>
        </w:rPr>
        <w:t>Porcentaje de ciudadanos</w:t>
      </w:r>
      <w:r>
        <w:rPr>
          <w:rFonts w:ascii="Arial" w:hAnsi="Arial" w:cs="Arial"/>
          <w:bCs/>
          <w:sz w:val="16"/>
          <w:szCs w:val="16"/>
          <w:lang w:val="es-ES"/>
        </w:rPr>
        <w:t xml:space="preserve"> </w:t>
      </w:r>
      <w:r w:rsidRPr="00050FD7">
        <w:rPr>
          <w:rFonts w:ascii="Arial" w:hAnsi="Arial" w:cs="Arial"/>
          <w:bCs/>
          <w:sz w:val="16"/>
          <w:szCs w:val="16"/>
          <w:lang w:val="es-ES"/>
        </w:rPr>
        <w:t xml:space="preserve">atendidos por </w:t>
      </w:r>
      <w:r>
        <w:rPr>
          <w:rFonts w:ascii="Arial" w:hAnsi="Arial" w:cs="Arial"/>
          <w:bCs/>
          <w:sz w:val="16"/>
          <w:szCs w:val="16"/>
          <w:lang w:val="es-ES"/>
        </w:rPr>
        <w:t>dependencia</w:t>
      </w:r>
    </w:p>
    <w:p w14:paraId="4E54BAD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239193F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22E54E5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51FBCFAD" w14:textId="77777777" w:rsidR="00F32DDA" w:rsidRPr="004A6881" w:rsidRDefault="00F32DDA" w:rsidP="00F32DDA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>DETALLE DE LA ATENCIÓN POR EL CANAL PRESENCIAL DE LAS DIFERENTES DEPENDENCIAS</w:t>
      </w:r>
    </w:p>
    <w:p w14:paraId="445AF8C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1072829" w14:textId="77777777" w:rsidR="00F32DDA" w:rsidRPr="004A6881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4A6881">
        <w:rPr>
          <w:rFonts w:ascii="Arial" w:hAnsi="Arial" w:cs="Arial"/>
          <w:b/>
          <w:u w:val="single"/>
        </w:rPr>
        <w:t xml:space="preserve">Dirección de Reasentamientos Humanos </w:t>
      </w:r>
    </w:p>
    <w:p w14:paraId="3A9C916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2381D9A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Esta área obtuvo una asistencia de </w:t>
      </w:r>
      <w:r>
        <w:rPr>
          <w:rFonts w:ascii="Arial" w:hAnsi="Arial" w:cs="Arial"/>
        </w:rPr>
        <w:t>1.211</w:t>
      </w:r>
      <w:r w:rsidRPr="001079BC">
        <w:rPr>
          <w:rFonts w:ascii="Arial" w:hAnsi="Arial" w:cs="Arial"/>
        </w:rPr>
        <w:t xml:space="preserve"> ciudadanos, lo que representa el </w:t>
      </w:r>
      <w:r>
        <w:rPr>
          <w:rFonts w:ascii="Arial" w:hAnsi="Arial" w:cs="Arial"/>
        </w:rPr>
        <w:t>51,69%</w:t>
      </w:r>
      <w:r w:rsidRPr="001079BC">
        <w:rPr>
          <w:rFonts w:ascii="Arial" w:hAnsi="Arial" w:cs="Arial"/>
        </w:rPr>
        <w:t xml:space="preserve"> del total de asistentes a la entidad en </w:t>
      </w:r>
      <w:r>
        <w:rPr>
          <w:rFonts w:ascii="Arial" w:hAnsi="Arial" w:cs="Arial"/>
        </w:rPr>
        <w:t>noviembre de 2019</w:t>
      </w:r>
      <w:r w:rsidRPr="001079BC">
        <w:rPr>
          <w:rFonts w:ascii="Arial" w:hAnsi="Arial" w:cs="Arial"/>
        </w:rPr>
        <w:t xml:space="preserve">. De los anteriores asistentes a esta dependencia, el </w:t>
      </w:r>
      <w:r>
        <w:rPr>
          <w:rFonts w:ascii="Arial" w:hAnsi="Arial" w:cs="Arial"/>
        </w:rPr>
        <w:t>79,44% (962</w:t>
      </w:r>
      <w:r w:rsidRPr="001079BC">
        <w:rPr>
          <w:rFonts w:ascii="Arial" w:hAnsi="Arial" w:cs="Arial"/>
        </w:rPr>
        <w:t xml:space="preserve">) se acercó para </w:t>
      </w:r>
      <w:r>
        <w:rPr>
          <w:rFonts w:ascii="Arial" w:hAnsi="Arial" w:cs="Arial"/>
        </w:rPr>
        <w:t>indagar por el e</w:t>
      </w:r>
      <w:r w:rsidRPr="001079BC">
        <w:rPr>
          <w:rFonts w:ascii="Arial" w:hAnsi="Arial" w:cs="Arial"/>
        </w:rPr>
        <w:t>stado de</w:t>
      </w:r>
      <w:r>
        <w:rPr>
          <w:rFonts w:ascii="Arial" w:hAnsi="Arial" w:cs="Arial"/>
        </w:rPr>
        <w:t xml:space="preserve"> su p</w:t>
      </w:r>
      <w:r w:rsidRPr="001079BC">
        <w:rPr>
          <w:rFonts w:ascii="Arial" w:hAnsi="Arial" w:cs="Arial"/>
        </w:rPr>
        <w:t>roceso</w:t>
      </w:r>
      <w:r>
        <w:rPr>
          <w:rFonts w:ascii="Arial" w:hAnsi="Arial" w:cs="Arial"/>
        </w:rPr>
        <w:t>.</w:t>
      </w:r>
    </w:p>
    <w:p w14:paraId="4788BED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40DA3F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A57B8C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258B52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29C98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E24C9F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3048"/>
        <w:gridCol w:w="2126"/>
      </w:tblGrid>
      <w:tr w:rsidR="00F32DDA" w:rsidRPr="007436FD" w14:paraId="6F345FFB" w14:textId="77777777" w:rsidTr="005E468E">
        <w:trPr>
          <w:trHeight w:val="300"/>
        </w:trPr>
        <w:tc>
          <w:tcPr>
            <w:tcW w:w="9654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3463AEC4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DIRECCIÓN DE REASENTAMIENTOS HUMANOS</w:t>
            </w:r>
          </w:p>
        </w:tc>
      </w:tr>
      <w:tr w:rsidR="00F32DDA" w:rsidRPr="007436FD" w14:paraId="2BADB467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75304AA" w14:textId="19286506" w:rsidR="00F32DDA" w:rsidRPr="007436FD" w:rsidRDefault="00C646C5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 w:rsidRPr="007436FD">
              <w:rPr>
                <w:rFonts w:eastAsia="Times New Roman"/>
                <w:b/>
                <w:bCs/>
                <w:lang w:eastAsia="es-CO"/>
              </w:rPr>
              <w:t xml:space="preserve"> O SERVICIO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56E6B79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6C1CE5E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7436FD" w14:paraId="68F98569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1EE9E46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ESTADO DEL PROCESO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A3AA883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962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75F959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79,44%</w:t>
            </w:r>
          </w:p>
        </w:tc>
      </w:tr>
      <w:tr w:rsidR="00F32DDA" w:rsidRPr="007436FD" w14:paraId="7F5D8091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77FEDA7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RADICIACIÓN CONTRATO DE ARRIENDO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1CCF7B6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F47C50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11,15%</w:t>
            </w:r>
          </w:p>
        </w:tc>
      </w:tr>
      <w:tr w:rsidR="00F32DDA" w:rsidRPr="007436FD" w14:paraId="13BBBC55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11A2659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INGRESO AL PROGRAMA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33DFEEC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C696E5E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2,89%</w:t>
            </w:r>
          </w:p>
        </w:tc>
      </w:tr>
      <w:tr w:rsidR="00F32DDA" w:rsidRPr="007436FD" w14:paraId="67101C16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434B47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4FCEE5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64F30CE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2,23%</w:t>
            </w:r>
          </w:p>
        </w:tc>
      </w:tr>
      <w:tr w:rsidR="00F32DDA" w:rsidRPr="007436FD" w14:paraId="0F78A8D2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0125C3E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DESEMBOLSO DE MEJORAS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0B69B814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1C78CF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1,49%</w:t>
            </w:r>
          </w:p>
        </w:tc>
      </w:tr>
      <w:tr w:rsidR="00F32DDA" w:rsidRPr="007436FD" w14:paraId="441AC619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2F12AC7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SELECCIÓN DE VIVIENDA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902C766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AA842E3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1,32%</w:t>
            </w:r>
          </w:p>
        </w:tc>
      </w:tr>
      <w:tr w:rsidR="00F32DDA" w:rsidRPr="007436FD" w14:paraId="3D59D9B6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22E796F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ENTREGA VIVIENDA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BF574AF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28A43D9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0,50%</w:t>
            </w:r>
          </w:p>
        </w:tc>
      </w:tr>
      <w:tr w:rsidR="00F32DDA" w:rsidRPr="007436FD" w14:paraId="6E5E7C9B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B01FAF3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DESEMBOLSO A CONSTRUCTORA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6052254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E02D97E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0,50%</w:t>
            </w:r>
          </w:p>
        </w:tc>
      </w:tr>
      <w:tr w:rsidR="00F32DDA" w:rsidRPr="007436FD" w14:paraId="665D543E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9DF2B3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NEGOCIACIÓN VIVIENDA USADA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18A9069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BD2F065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0,41%</w:t>
            </w:r>
          </w:p>
        </w:tc>
      </w:tr>
      <w:tr w:rsidR="00F32DDA" w:rsidRPr="007436FD" w14:paraId="009A9381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575AA9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NOTIFICACION DE RESOLUCION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E1F0594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725CF9C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0,08%</w:t>
            </w:r>
          </w:p>
        </w:tc>
      </w:tr>
      <w:tr w:rsidR="00F32DDA" w:rsidRPr="007436FD" w14:paraId="23326080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5196AD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304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B24B609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1211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A686D35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5EACC499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4FF00F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65D4E656" w14:textId="77777777" w:rsidR="00F32DDA" w:rsidRDefault="00F32DDA" w:rsidP="00F32DDA">
      <w:pPr>
        <w:spacing w:after="0" w:line="240" w:lineRule="auto"/>
        <w:rPr>
          <w:rFonts w:ascii="Arial" w:hAnsi="Arial" w:cs="Arial"/>
          <w:b/>
          <w:u w:val="single"/>
        </w:rPr>
      </w:pPr>
    </w:p>
    <w:p w14:paraId="33954C95" w14:textId="77777777" w:rsidR="00F32DDA" w:rsidRPr="001026C4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1026C4">
        <w:rPr>
          <w:rFonts w:ascii="Arial" w:hAnsi="Arial" w:cs="Arial"/>
          <w:b/>
          <w:u w:val="single"/>
        </w:rPr>
        <w:t>Dirección de Urbanizaciones y Titulación</w:t>
      </w:r>
    </w:p>
    <w:p w14:paraId="01A7B3B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9A6472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Con referencia al programa de Urbanizaciones y Titulación, </w:t>
      </w:r>
      <w:r>
        <w:rPr>
          <w:rFonts w:ascii="Arial" w:hAnsi="Arial" w:cs="Arial"/>
        </w:rPr>
        <w:t>665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28,38</w:t>
      </w:r>
      <w:r w:rsidRPr="001079BC">
        <w:rPr>
          <w:rFonts w:ascii="Arial" w:hAnsi="Arial" w:cs="Arial"/>
        </w:rPr>
        <w:t>%) ciudadanos se acercaron a esta dependencia</w:t>
      </w:r>
      <w:r>
        <w:rPr>
          <w:rFonts w:ascii="Arial" w:hAnsi="Arial" w:cs="Arial"/>
        </w:rPr>
        <w:t>, de los cuales la gran mayoría, es decir 565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84,96</w:t>
      </w:r>
      <w:r w:rsidRPr="001079BC">
        <w:rPr>
          <w:rFonts w:ascii="Arial" w:hAnsi="Arial" w:cs="Arial"/>
        </w:rPr>
        <w:t>%)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solicitar</w:t>
      </w:r>
      <w:r>
        <w:rPr>
          <w:rFonts w:ascii="Arial" w:hAnsi="Arial" w:cs="Arial"/>
        </w:rPr>
        <w:t>on</w:t>
      </w:r>
      <w:r w:rsidRPr="001079BC">
        <w:rPr>
          <w:rFonts w:ascii="Arial" w:hAnsi="Arial" w:cs="Arial"/>
        </w:rPr>
        <w:t xml:space="preserve"> Información </w:t>
      </w:r>
      <w:r>
        <w:rPr>
          <w:rFonts w:ascii="Arial" w:hAnsi="Arial" w:cs="Arial"/>
        </w:rPr>
        <w:t>general sobre el proceso.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985"/>
        <w:gridCol w:w="1928"/>
      </w:tblGrid>
      <w:tr w:rsidR="00F32DDA" w:rsidRPr="007436FD" w14:paraId="381CECB9" w14:textId="77777777" w:rsidTr="005E468E">
        <w:trPr>
          <w:trHeight w:val="300"/>
        </w:trPr>
        <w:tc>
          <w:tcPr>
            <w:tcW w:w="974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B055F12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DIRECCIÓN DE URBANIZACIONES Y TITULACIÓN</w:t>
            </w:r>
          </w:p>
        </w:tc>
      </w:tr>
      <w:tr w:rsidR="00F32DDA" w:rsidRPr="007436FD" w14:paraId="252596DC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8B259B9" w14:textId="2807460B" w:rsidR="00F32DDA" w:rsidRPr="007436FD" w:rsidRDefault="00C646C5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 w:rsidRPr="007436FD">
              <w:rPr>
                <w:rFonts w:eastAsia="Times New Roman"/>
                <w:b/>
                <w:bCs/>
                <w:lang w:eastAsia="es-CO"/>
              </w:rPr>
              <w:t xml:space="preserve"> O SERVICIO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D28EE90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2654FAC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7436FD" w14:paraId="1A45963A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E194559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INFORMACION GENERAL SOBRE EL PROCESO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A862F7E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565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28D8A52E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84,96%</w:t>
            </w:r>
          </w:p>
        </w:tc>
      </w:tr>
      <w:tr w:rsidR="00F32DDA" w:rsidRPr="007436FD" w14:paraId="4CA0E0F6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AA0F19A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SOLICITAR LA ESCRITURACION POR PRIMERA VEZ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0B61AC8A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91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D24ECE5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13,68%</w:t>
            </w:r>
          </w:p>
        </w:tc>
      </w:tr>
      <w:tr w:rsidR="00F32DDA" w:rsidRPr="007436FD" w14:paraId="78C0FF6A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2E31A0D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RADICACION DE CANCELACION DE HIPOTECA Y CONDICIONES RESOLUTORIAS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6D6B5902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9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4A429E55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1,35%</w:t>
            </w:r>
          </w:p>
        </w:tc>
      </w:tr>
      <w:tr w:rsidR="00F32DDA" w:rsidRPr="007436FD" w14:paraId="59BBC5FB" w14:textId="77777777" w:rsidTr="005E468E">
        <w:trPr>
          <w:trHeight w:val="300"/>
        </w:trPr>
        <w:tc>
          <w:tcPr>
            <w:tcW w:w="582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F136BD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71DB58E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665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59CAF23C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13A71464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0BC5EA8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42C2878B" w14:textId="77777777" w:rsidR="00F32DDA" w:rsidRDefault="00F32DDA" w:rsidP="00F32DDA">
      <w:pPr>
        <w:spacing w:after="0" w:line="240" w:lineRule="auto"/>
        <w:rPr>
          <w:rFonts w:ascii="Arial" w:hAnsi="Arial" w:cs="Arial"/>
          <w:b/>
          <w:u w:val="single"/>
        </w:rPr>
      </w:pPr>
    </w:p>
    <w:p w14:paraId="3BD6C52D" w14:textId="77777777" w:rsidR="00F32DDA" w:rsidRPr="00A250B4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rPr>
          <w:rFonts w:ascii="Arial" w:hAnsi="Arial" w:cs="Arial"/>
          <w:b/>
          <w:u w:val="single"/>
        </w:rPr>
      </w:pPr>
      <w:r w:rsidRPr="00A250B4">
        <w:rPr>
          <w:rFonts w:ascii="Arial" w:hAnsi="Arial" w:cs="Arial"/>
          <w:b/>
          <w:u w:val="single"/>
        </w:rPr>
        <w:t>Dirección de Mejoramiento de Vivienda</w:t>
      </w:r>
    </w:p>
    <w:p w14:paraId="3957157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CDFEA1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El área misional de Mejoramiento de Vivienda atendió a </w:t>
      </w:r>
      <w:r>
        <w:rPr>
          <w:rFonts w:ascii="Arial" w:hAnsi="Arial" w:cs="Arial"/>
        </w:rPr>
        <w:t>430</w:t>
      </w:r>
      <w:r w:rsidRPr="001079BC">
        <w:rPr>
          <w:rFonts w:ascii="Arial" w:hAnsi="Arial" w:cs="Arial"/>
        </w:rPr>
        <w:t xml:space="preserve"> ciudadanos, que representan el </w:t>
      </w:r>
      <w:r>
        <w:rPr>
          <w:rFonts w:ascii="Arial" w:hAnsi="Arial" w:cs="Arial"/>
        </w:rPr>
        <w:t>18,35</w:t>
      </w:r>
      <w:r w:rsidRPr="001079BC">
        <w:rPr>
          <w:rFonts w:ascii="Arial" w:hAnsi="Arial" w:cs="Arial"/>
        </w:rPr>
        <w:t>% del total qu</w:t>
      </w:r>
      <w:r>
        <w:rPr>
          <w:rFonts w:ascii="Arial" w:hAnsi="Arial" w:cs="Arial"/>
        </w:rPr>
        <w:t>e se acercaron a la CVP durante noviembre de 2019</w:t>
      </w:r>
      <w:r w:rsidRPr="001079B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E</w:t>
      </w:r>
      <w:r w:rsidRPr="001079BC">
        <w:rPr>
          <w:rFonts w:ascii="Arial" w:hAnsi="Arial" w:cs="Arial"/>
        </w:rPr>
        <w:t xml:space="preserve">n su mayoría solicitaron </w:t>
      </w:r>
      <w:r>
        <w:rPr>
          <w:rFonts w:ascii="Arial" w:hAnsi="Arial" w:cs="Arial"/>
        </w:rPr>
        <w:t>Información general de mejoramiento de vivienda</w:t>
      </w:r>
      <w:r w:rsidRPr="001079BC">
        <w:rPr>
          <w:rFonts w:ascii="Arial" w:hAnsi="Arial" w:cs="Arial"/>
        </w:rPr>
        <w:t>; lo anterior represent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 el </w:t>
      </w:r>
      <w:r>
        <w:rPr>
          <w:rFonts w:ascii="Arial" w:hAnsi="Arial" w:cs="Arial"/>
        </w:rPr>
        <w:t>65,35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281</w:t>
      </w:r>
      <w:r w:rsidRPr="001079BC">
        <w:rPr>
          <w:rFonts w:ascii="Arial" w:hAnsi="Arial" w:cs="Arial"/>
        </w:rPr>
        <w:t>) de los ciudadanos que se acercaron a esta dependencia.</w:t>
      </w:r>
      <w:r>
        <w:rPr>
          <w:rFonts w:ascii="Arial" w:hAnsi="Arial" w:cs="Arial"/>
        </w:rPr>
        <w:t xml:space="preserve"> Un 34,65% de los usuarios, se </w:t>
      </w:r>
      <w:r>
        <w:rPr>
          <w:rFonts w:ascii="Arial" w:hAnsi="Arial" w:cs="Arial"/>
        </w:rPr>
        <w:lastRenderedPageBreak/>
        <w:t>acercaron a la Entidad con el fin de solicitar asistencia técnica para la obtención de licencias de construcción o actos de reconocimiento de edificaciones.</w:t>
      </w:r>
    </w:p>
    <w:p w14:paraId="15258A52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C38243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0D1FCD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1"/>
        <w:gridCol w:w="2694"/>
        <w:gridCol w:w="2126"/>
      </w:tblGrid>
      <w:tr w:rsidR="00F32DDA" w:rsidRPr="007436FD" w14:paraId="4A6BA563" w14:textId="77777777" w:rsidTr="005E468E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2DD9A0C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DIRECCIÓN DE MEJORAMIENTO DE VIVIENDA</w:t>
            </w:r>
          </w:p>
        </w:tc>
      </w:tr>
      <w:tr w:rsidR="00F32DDA" w:rsidRPr="007436FD" w14:paraId="22DC2648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EB49771" w14:textId="4315B10E" w:rsidR="00F32DDA" w:rsidRPr="007436FD" w:rsidRDefault="00F32DDA" w:rsidP="00C646C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 w:rsidR="00C646C5"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 O SERVICIO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12280AD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3AF304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7436FD" w14:paraId="5E0B90DC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2B54FD3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INFORMACION GENERAL DE MEJORAMIENTO DE VIVIENDA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0C4504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648B318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65,35%</w:t>
            </w:r>
          </w:p>
        </w:tc>
      </w:tr>
      <w:tr w:rsidR="00F32DDA" w:rsidRPr="007436FD" w14:paraId="7AFF1958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7CC12C8C" w14:textId="77777777" w:rsidR="00F32DDA" w:rsidRPr="007436FD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ASISTENCIA TECNICA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9D6F4E4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149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667D9662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7436FD">
              <w:rPr>
                <w:rFonts w:eastAsia="Times New Roman"/>
                <w:color w:val="000000"/>
                <w:lang w:eastAsia="es-CO"/>
              </w:rPr>
              <w:t>34,65%</w:t>
            </w:r>
          </w:p>
        </w:tc>
      </w:tr>
      <w:tr w:rsidR="00F32DDA" w:rsidRPr="007436FD" w14:paraId="03975409" w14:textId="77777777" w:rsidTr="005E468E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277C4CD1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669BAD8A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430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7D5D6923" w14:textId="77777777" w:rsidR="00F32DDA" w:rsidRPr="007436FD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5F7F9B89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3D7EAE7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3FF6C618" w14:textId="77777777" w:rsidR="00F32DDA" w:rsidRDefault="00F32DDA" w:rsidP="00F32DD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791A6487" w14:textId="77777777" w:rsidR="00F32DDA" w:rsidRPr="000B04ED" w:rsidRDefault="00F32DDA" w:rsidP="00F32DDA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0B04ED">
        <w:rPr>
          <w:rFonts w:ascii="Arial" w:hAnsi="Arial" w:cs="Arial"/>
          <w:b/>
          <w:u w:val="single"/>
        </w:rPr>
        <w:t>Dirección de Mejoramiento de Barrios</w:t>
      </w:r>
    </w:p>
    <w:p w14:paraId="048F78C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0F18DC6F" w14:textId="24155D52" w:rsidR="00F32DDA" w:rsidRDefault="00F32DDA" w:rsidP="00F32DDA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el mes de noviembre de 2019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 </w:t>
      </w:r>
      <w:r w:rsidRPr="001079BC">
        <w:rPr>
          <w:rFonts w:ascii="Arial" w:hAnsi="Arial" w:cs="Arial"/>
        </w:rPr>
        <w:t>atendi</w:t>
      </w:r>
      <w:r>
        <w:rPr>
          <w:rFonts w:ascii="Arial" w:hAnsi="Arial" w:cs="Arial"/>
        </w:rPr>
        <w:t>eron 5 ciudadanos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que son principalmente representantes de Juntas de Acción Comunal que solicitaron información sobre el estado en que se encuentran los procesos para </w:t>
      </w:r>
      <w:r w:rsidRPr="001A0AC4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DB2BE8">
        <w:rPr>
          <w:rFonts w:ascii="Arial" w:hAnsi="Arial" w:cs="Arial"/>
        </w:rPr>
        <w:t>onstrucción de </w:t>
      </w:r>
      <w:r w:rsidRPr="006D00BA">
        <w:rPr>
          <w:rFonts w:ascii="Arial" w:hAnsi="Arial" w:cs="Arial"/>
          <w:bCs/>
        </w:rPr>
        <w:t>“Obras de intervención física a Escala Barrial”</w:t>
      </w:r>
      <w:r>
        <w:rPr>
          <w:rFonts w:ascii="Arial" w:hAnsi="Arial" w:cs="Arial"/>
          <w:b/>
          <w:bCs/>
        </w:rPr>
        <w:t xml:space="preserve"> </w:t>
      </w:r>
      <w:r w:rsidRPr="006D00BA">
        <w:rPr>
          <w:rFonts w:ascii="Arial" w:hAnsi="Arial" w:cs="Arial"/>
          <w:bCs/>
        </w:rPr>
        <w:t xml:space="preserve">- </w:t>
      </w:r>
      <w:r w:rsidRPr="00DB2BE8">
        <w:rPr>
          <w:rFonts w:ascii="Arial" w:hAnsi="Arial" w:cs="Arial"/>
        </w:rPr>
        <w:t>Parques, andenes, calles, vías peato</w:t>
      </w:r>
      <w:r>
        <w:rPr>
          <w:rFonts w:ascii="Arial" w:hAnsi="Arial" w:cs="Arial"/>
        </w:rPr>
        <w:t>nales, plazoletas</w:t>
      </w:r>
      <w:r w:rsidRPr="001A0AC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Dichos ciudadanos se remitieron a la Dirección de Mejoramiento de Barrios para ampliación de información. 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0"/>
        <w:gridCol w:w="3190"/>
        <w:gridCol w:w="1701"/>
      </w:tblGrid>
      <w:tr w:rsidR="00F32DDA" w:rsidRPr="00862A0C" w14:paraId="2AA9ACE5" w14:textId="77777777" w:rsidTr="005E468E">
        <w:trPr>
          <w:trHeight w:val="300"/>
        </w:trPr>
        <w:tc>
          <w:tcPr>
            <w:tcW w:w="9371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7CD5103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DIRECCION DE MEJORAMIENTO DE BARRIOS</w:t>
            </w:r>
          </w:p>
        </w:tc>
      </w:tr>
      <w:tr w:rsidR="00F32DDA" w:rsidRPr="00862A0C" w14:paraId="422179CC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4A5A87A3" w14:textId="6636B11C" w:rsidR="00F32DDA" w:rsidRPr="00862A0C" w:rsidRDefault="00C646C5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 w:rsidRPr="00862A0C">
              <w:rPr>
                <w:rFonts w:eastAsia="Times New Roman"/>
                <w:b/>
                <w:bCs/>
                <w:lang w:eastAsia="es-CO"/>
              </w:rPr>
              <w:t xml:space="preserve"> O SERVICIO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0E1245C5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CIUDADANOS ATENDIDOS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6E0B49F7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PORCENTAJE</w:t>
            </w:r>
          </w:p>
        </w:tc>
      </w:tr>
      <w:tr w:rsidR="00F32DDA" w:rsidRPr="00862A0C" w14:paraId="618FA27C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194A64B3" w14:textId="77777777" w:rsidR="00F32DDA" w:rsidRPr="00862A0C" w:rsidRDefault="00F32DDA" w:rsidP="005E468E">
            <w:pPr>
              <w:spacing w:after="0" w:line="240" w:lineRule="auto"/>
              <w:rPr>
                <w:rFonts w:eastAsia="Times New Roman"/>
                <w:color w:val="000000"/>
                <w:lang w:eastAsia="es-CO"/>
              </w:rPr>
            </w:pPr>
            <w:r w:rsidRPr="00862A0C">
              <w:rPr>
                <w:rFonts w:eastAsia="Times New Roman"/>
                <w:color w:val="000000"/>
                <w:lang w:eastAsia="es-CO"/>
              </w:rPr>
              <w:t>INFORMACION GENERAL SOBRE EL PROCESO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5605D57B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62A0C">
              <w:rPr>
                <w:rFonts w:eastAsia="Times New Roman"/>
                <w:color w:val="000000"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vAlign w:val="center"/>
            <w:hideMark/>
          </w:tcPr>
          <w:p w14:paraId="38DBC133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O"/>
              </w:rPr>
            </w:pPr>
            <w:r w:rsidRPr="00862A0C">
              <w:rPr>
                <w:rFonts w:eastAsia="Times New Roman"/>
                <w:color w:val="000000"/>
                <w:lang w:eastAsia="es-CO"/>
              </w:rPr>
              <w:t>100,00%</w:t>
            </w:r>
          </w:p>
        </w:tc>
      </w:tr>
      <w:tr w:rsidR="00F32DDA" w:rsidRPr="00862A0C" w14:paraId="6E84E47E" w14:textId="77777777" w:rsidTr="005E468E">
        <w:trPr>
          <w:trHeight w:val="300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5E594A88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Total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228D3B4B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vAlign w:val="center"/>
            <w:hideMark/>
          </w:tcPr>
          <w:p w14:paraId="1F2877B4" w14:textId="77777777" w:rsidR="00F32DDA" w:rsidRPr="00862A0C" w:rsidRDefault="00F32DDA" w:rsidP="005E468E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s-CO"/>
              </w:rPr>
            </w:pPr>
            <w:r w:rsidRPr="00862A0C">
              <w:rPr>
                <w:rFonts w:eastAsia="Times New Roman"/>
                <w:b/>
                <w:bCs/>
                <w:lang w:eastAsia="es-CO"/>
              </w:rPr>
              <w:t>100%</w:t>
            </w:r>
          </w:p>
        </w:tc>
      </w:tr>
    </w:tbl>
    <w:p w14:paraId="7B3EA723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D9EE32D" w14:textId="77777777" w:rsidR="00F32DDA" w:rsidRDefault="00F32DDA" w:rsidP="00F32DDA">
      <w:pPr>
        <w:pStyle w:val="Prrafodelista"/>
        <w:spacing w:after="120" w:line="240" w:lineRule="auto"/>
        <w:ind w:left="0"/>
        <w:jc w:val="both"/>
        <w:rPr>
          <w:rFonts w:ascii="Arial" w:hAnsi="Arial" w:cs="Arial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437DF9C2" w14:textId="77777777" w:rsidR="00F32DDA" w:rsidRDefault="00F32DDA" w:rsidP="00F32DDA">
      <w:pPr>
        <w:pStyle w:val="Prrafodelista"/>
        <w:spacing w:after="0" w:line="240" w:lineRule="auto"/>
        <w:ind w:left="0"/>
        <w:jc w:val="both"/>
        <w:rPr>
          <w:rFonts w:ascii="Arial" w:hAnsi="Arial" w:cs="Arial"/>
        </w:rPr>
      </w:pPr>
    </w:p>
    <w:p w14:paraId="52E35B19" w14:textId="77777777" w:rsidR="00F32DDA" w:rsidRPr="00E56F1D" w:rsidRDefault="00F32DDA" w:rsidP="00F32DDA">
      <w:pPr>
        <w:pStyle w:val="Prrafodelista"/>
        <w:numPr>
          <w:ilvl w:val="0"/>
          <w:numId w:val="10"/>
        </w:numPr>
        <w:tabs>
          <w:tab w:val="left" w:pos="3086"/>
        </w:tabs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 w:rsidRPr="00E56F1D">
        <w:rPr>
          <w:rFonts w:ascii="Arial" w:hAnsi="Arial" w:cs="Arial"/>
          <w:b/>
          <w:u w:val="single"/>
        </w:rPr>
        <w:t xml:space="preserve">Subdirección Financiera </w:t>
      </w:r>
      <w:r>
        <w:rPr>
          <w:rFonts w:ascii="Arial" w:hAnsi="Arial" w:cs="Arial"/>
          <w:b/>
          <w:u w:val="single"/>
        </w:rPr>
        <w:t>(</w:t>
      </w:r>
      <w:r w:rsidRPr="00E56F1D">
        <w:rPr>
          <w:rFonts w:ascii="Arial" w:hAnsi="Arial" w:cs="Arial"/>
          <w:b/>
          <w:u w:val="single"/>
        </w:rPr>
        <w:t>Cartera</w:t>
      </w:r>
      <w:r>
        <w:rPr>
          <w:rFonts w:ascii="Arial" w:hAnsi="Arial" w:cs="Arial"/>
          <w:b/>
          <w:u w:val="single"/>
        </w:rPr>
        <w:t>)</w:t>
      </w:r>
    </w:p>
    <w:p w14:paraId="772A9CD4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38CF6D8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La Subdirección Financiera atendió a </w:t>
      </w:r>
      <w:r>
        <w:rPr>
          <w:rFonts w:ascii="Arial" w:hAnsi="Arial" w:cs="Arial"/>
        </w:rPr>
        <w:t>25</w:t>
      </w:r>
      <w:r w:rsidRPr="001079BC">
        <w:rPr>
          <w:rFonts w:ascii="Arial" w:hAnsi="Arial" w:cs="Arial"/>
        </w:rPr>
        <w:t xml:space="preserve"> ciudadanos que equivale </w:t>
      </w:r>
      <w:r>
        <w:rPr>
          <w:rFonts w:ascii="Arial" w:hAnsi="Arial" w:cs="Arial"/>
        </w:rPr>
        <w:t>a</w:t>
      </w:r>
      <w:r w:rsidRPr="001079BC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1,07</w:t>
      </w:r>
      <w:r w:rsidRPr="001079BC">
        <w:rPr>
          <w:rFonts w:ascii="Arial" w:hAnsi="Arial" w:cs="Arial"/>
        </w:rPr>
        <w:t xml:space="preserve">% de los </w:t>
      </w:r>
      <w:r>
        <w:rPr>
          <w:rFonts w:ascii="Arial" w:hAnsi="Arial" w:cs="Arial"/>
        </w:rPr>
        <w:t>ciudadanos atendidos en el mes de noviembre de 2019</w:t>
      </w:r>
      <w:r w:rsidRPr="001079BC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de </w:t>
      </w:r>
      <w:r w:rsidRPr="001079BC">
        <w:rPr>
          <w:rFonts w:ascii="Arial" w:hAnsi="Arial" w:cs="Arial"/>
        </w:rPr>
        <w:t>los cuales</w:t>
      </w:r>
      <w:r>
        <w:rPr>
          <w:rFonts w:ascii="Arial" w:hAnsi="Arial" w:cs="Arial"/>
        </w:rPr>
        <w:t>, 10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(40,00%), acudieron a suscribir acuerdos de pago, 5 (20,00%) se acercaron para expedición de paz y salvos, 5 (20,00%) se acercaron para solicitar la impresión y entrega de talonarios con recibos de pago de la obligación, 3 (12,00%) a recibir i</w:t>
      </w:r>
      <w:r w:rsidRPr="001079BC">
        <w:rPr>
          <w:rFonts w:ascii="Arial" w:hAnsi="Arial" w:cs="Arial"/>
        </w:rPr>
        <w:t xml:space="preserve">nformación </w:t>
      </w:r>
      <w:r>
        <w:rPr>
          <w:rFonts w:ascii="Arial" w:hAnsi="Arial" w:cs="Arial"/>
        </w:rPr>
        <w:t>general del estado de cartera, y 2 (8%) solicitaron información general sobre el proceso.</w:t>
      </w:r>
    </w:p>
    <w:p w14:paraId="47DF62C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FDE1F1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75CE17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1439AE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499B757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8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2693"/>
        <w:gridCol w:w="1985"/>
      </w:tblGrid>
      <w:tr w:rsidR="00F32DDA" w14:paraId="0C9E44F2" w14:textId="77777777" w:rsidTr="005E468E">
        <w:trPr>
          <w:trHeight w:hRule="exact" w:val="301"/>
        </w:trPr>
        <w:tc>
          <w:tcPr>
            <w:tcW w:w="8946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AA6982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SUBDIRECCIÓN FINANCIERA (Cartera)</w:t>
            </w:r>
          </w:p>
        </w:tc>
      </w:tr>
      <w:tr w:rsidR="00F32DDA" w14:paraId="37FE54F6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C7AB8B" w14:textId="2B453B80" w:rsidR="00F32DDA" w:rsidRDefault="00C646C5" w:rsidP="005E468E">
            <w:pPr>
              <w:jc w:val="center"/>
              <w:rPr>
                <w:b/>
                <w:bCs/>
              </w:rPr>
            </w:pPr>
            <w:r w:rsidRPr="007436FD">
              <w:rPr>
                <w:rFonts w:eastAsia="Times New Roman"/>
                <w:b/>
                <w:bCs/>
                <w:lang w:eastAsia="es-CO"/>
              </w:rPr>
              <w:t>TR</w:t>
            </w:r>
            <w:r>
              <w:rPr>
                <w:rFonts w:eastAsia="Times New Roman"/>
                <w:b/>
                <w:bCs/>
                <w:lang w:eastAsia="es-CO"/>
              </w:rPr>
              <w:t>Á</w:t>
            </w:r>
            <w:r w:rsidRPr="007436FD">
              <w:rPr>
                <w:rFonts w:eastAsia="Times New Roman"/>
                <w:b/>
                <w:bCs/>
                <w:lang w:eastAsia="es-CO"/>
              </w:rPr>
              <w:t>MITE</w:t>
            </w:r>
            <w:r w:rsidR="00F32DDA">
              <w:rPr>
                <w:b/>
                <w:bCs/>
              </w:rPr>
              <w:t xml:space="preserve"> O SERVICIO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CACB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CIUDADANOS ATENDIDOS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4BC62C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PORCENTAJE</w:t>
            </w:r>
          </w:p>
        </w:tc>
      </w:tr>
      <w:tr w:rsidR="00F32DDA" w14:paraId="1A547275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0E2614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ACUERDO DE PAGO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D79665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B18552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40,00%</w:t>
            </w:r>
          </w:p>
        </w:tc>
      </w:tr>
      <w:tr w:rsidR="00F32DDA" w14:paraId="569BE770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7B9E9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EXPEDICION DE PAZ Y SALVOS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3FD75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FF34DE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20,00%</w:t>
            </w:r>
          </w:p>
        </w:tc>
      </w:tr>
      <w:tr w:rsidR="00F32DDA" w14:paraId="0802ED8B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A95C5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IMPRESION TALONARIO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F20777D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94D6D8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20,00%</w:t>
            </w:r>
          </w:p>
        </w:tc>
      </w:tr>
      <w:tr w:rsidR="00F32DDA" w14:paraId="2DB6C006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5FB580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INFORMACION ESTADO DE CUENTA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C2DEB2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61B6C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12,00%</w:t>
            </w:r>
          </w:p>
        </w:tc>
      </w:tr>
      <w:tr w:rsidR="00F32DDA" w14:paraId="07BC4DC4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F16C16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INFORMACION GENERAL SOBRE EL PROCESO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CC73E5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86BAE1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8,00%</w:t>
            </w:r>
          </w:p>
        </w:tc>
      </w:tr>
      <w:tr w:rsidR="00F32DDA" w14:paraId="5A102BAD" w14:textId="77777777" w:rsidTr="005E468E">
        <w:trPr>
          <w:trHeight w:hRule="exact" w:val="301"/>
        </w:trPr>
        <w:tc>
          <w:tcPr>
            <w:tcW w:w="4268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000DC6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D6043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02C36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39686816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756DDE78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2FC909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E42BE99" w14:textId="77777777" w:rsidR="00F32DDA" w:rsidRPr="00EB70CE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Subdirección Administrativa atendió a 4 ciudadanos (0,17%) y la Dirección Jurídica a 2 ciudadanos </w:t>
      </w:r>
      <w:r w:rsidRPr="00DF7DE5">
        <w:rPr>
          <w:rFonts w:ascii="Arial" w:hAnsi="Arial" w:cs="Arial"/>
        </w:rPr>
        <w:t>que equivale al 0,</w:t>
      </w:r>
      <w:r>
        <w:rPr>
          <w:rFonts w:ascii="Arial" w:hAnsi="Arial" w:cs="Arial"/>
        </w:rPr>
        <w:t>09</w:t>
      </w:r>
      <w:r w:rsidRPr="00DF7DE5">
        <w:rPr>
          <w:rFonts w:ascii="Arial" w:hAnsi="Arial" w:cs="Arial"/>
        </w:rPr>
        <w:t>% del total de la población</w:t>
      </w:r>
      <w:r>
        <w:rPr>
          <w:rFonts w:ascii="Arial" w:hAnsi="Arial" w:cs="Arial"/>
        </w:rPr>
        <w:t>, todos indagando sobre información de carácter general.</w:t>
      </w:r>
      <w:r w:rsidRPr="00DF7DE5">
        <w:rPr>
          <w:rFonts w:ascii="Arial" w:hAnsi="Arial" w:cs="Arial"/>
        </w:rPr>
        <w:t xml:space="preserve"> </w:t>
      </w:r>
    </w:p>
    <w:p w14:paraId="6196EF10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65E1FD6" w14:textId="77777777" w:rsidR="00F32DDA" w:rsidRPr="003740CE" w:rsidRDefault="00F32DDA" w:rsidP="00F32DDA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u w:val="single"/>
        </w:rPr>
      </w:pPr>
      <w:r w:rsidRPr="003740CE">
        <w:rPr>
          <w:rFonts w:ascii="Arial" w:hAnsi="Arial" w:cs="Arial"/>
          <w:b/>
          <w:u w:val="single"/>
        </w:rPr>
        <w:t>ATENCIÓN PRIORITARIA</w:t>
      </w:r>
    </w:p>
    <w:p w14:paraId="13F84B9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b/>
        </w:rPr>
      </w:pPr>
    </w:p>
    <w:p w14:paraId="377849E7" w14:textId="62A9D9F8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2.343</w:t>
      </w:r>
      <w:r w:rsidRPr="001079BC">
        <w:rPr>
          <w:rFonts w:ascii="Arial" w:hAnsi="Arial" w:cs="Arial"/>
        </w:rPr>
        <w:t xml:space="preserve"> ciudadanos que se acercaron a la entidad, el </w:t>
      </w:r>
      <w:r>
        <w:rPr>
          <w:rFonts w:ascii="Arial" w:hAnsi="Arial" w:cs="Arial"/>
        </w:rPr>
        <w:t>7,21</w:t>
      </w:r>
      <w:r w:rsidRPr="001079BC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 decir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169,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fueron atendidos de manera</w:t>
      </w:r>
      <w:r w:rsidRPr="001079BC">
        <w:rPr>
          <w:rFonts w:ascii="Arial" w:hAnsi="Arial" w:cs="Arial"/>
        </w:rPr>
        <w:t xml:space="preserve"> prioritaria. </w:t>
      </w:r>
      <w:r>
        <w:rPr>
          <w:rFonts w:ascii="Arial" w:hAnsi="Arial" w:cs="Arial"/>
        </w:rPr>
        <w:t>L</w:t>
      </w:r>
      <w:r w:rsidRPr="001079BC">
        <w:rPr>
          <w:rFonts w:ascii="Arial" w:hAnsi="Arial" w:cs="Arial"/>
        </w:rPr>
        <w:t xml:space="preserve">a Dirección de Reasentamientos Humanos </w:t>
      </w:r>
      <w:r>
        <w:rPr>
          <w:rFonts w:ascii="Arial" w:hAnsi="Arial" w:cs="Arial"/>
        </w:rPr>
        <w:t xml:space="preserve">es </w:t>
      </w:r>
      <w:r w:rsidRPr="001079BC">
        <w:rPr>
          <w:rFonts w:ascii="Arial" w:hAnsi="Arial" w:cs="Arial"/>
        </w:rPr>
        <w:t xml:space="preserve">el área con mayor demanda, con un </w:t>
      </w:r>
      <w:r>
        <w:rPr>
          <w:rFonts w:ascii="Arial" w:hAnsi="Arial" w:cs="Arial"/>
        </w:rPr>
        <w:t>76,92</w:t>
      </w:r>
      <w:r w:rsidRPr="001079BC">
        <w:rPr>
          <w:rFonts w:ascii="Arial" w:hAnsi="Arial" w:cs="Arial"/>
        </w:rPr>
        <w:t>% (</w:t>
      </w:r>
      <w:r>
        <w:rPr>
          <w:rFonts w:ascii="Arial" w:hAnsi="Arial" w:cs="Arial"/>
        </w:rPr>
        <w:t>130</w:t>
      </w:r>
      <w:r w:rsidRPr="001079BC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de los</w:t>
      </w:r>
      <w:r w:rsidRPr="001079BC">
        <w:rPr>
          <w:rFonts w:ascii="Arial" w:hAnsi="Arial" w:cs="Arial"/>
        </w:rPr>
        <w:t xml:space="preserve"> ciudadanos</w:t>
      </w:r>
      <w:r>
        <w:rPr>
          <w:rFonts w:ascii="Arial" w:hAnsi="Arial" w:cs="Arial"/>
        </w:rPr>
        <w:t xml:space="preserve">. La prioridad son personas adultas mayores y </w:t>
      </w:r>
      <w:r>
        <w:rPr>
          <w:rFonts w:ascii="Arial" w:hAnsi="Arial" w:cs="Arial"/>
          <w:lang w:val="es-ES_tradnl"/>
        </w:rPr>
        <w:t>mujeres lactantes</w:t>
      </w:r>
      <w:r>
        <w:rPr>
          <w:rFonts w:ascii="Arial" w:hAnsi="Arial" w:cs="Arial"/>
        </w:rPr>
        <w:t xml:space="preserve">, entre otros.   </w:t>
      </w:r>
    </w:p>
    <w:p w14:paraId="1CB7F44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0"/>
        <w:gridCol w:w="4120"/>
        <w:gridCol w:w="1540"/>
      </w:tblGrid>
      <w:tr w:rsidR="00F32DDA" w14:paraId="698E7D8C" w14:textId="77777777" w:rsidTr="005E468E">
        <w:trPr>
          <w:trHeight w:hRule="exact" w:val="301"/>
        </w:trPr>
        <w:tc>
          <w:tcPr>
            <w:tcW w:w="1014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239EC3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ATENCIÓN PRIORITARIA</w:t>
            </w:r>
          </w:p>
        </w:tc>
      </w:tr>
      <w:tr w:rsidR="00F32DDA" w14:paraId="0BC985BE" w14:textId="77777777" w:rsidTr="005E468E">
        <w:trPr>
          <w:trHeight w:hRule="exact" w:val="301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73547B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DEPENDENCIA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CA662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CIUDADANOS ATENDIDOS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E42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PORCENTAJE</w:t>
            </w:r>
          </w:p>
        </w:tc>
      </w:tr>
      <w:tr w:rsidR="00F32DDA" w14:paraId="3C8BD2B7" w14:textId="77777777" w:rsidTr="005E468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1C7302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DIRECCION DE REASENTAMIENTOS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FB47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8ADAE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76,92%</w:t>
            </w:r>
          </w:p>
        </w:tc>
      </w:tr>
      <w:tr w:rsidR="00F32DDA" w14:paraId="2B6E67AC" w14:textId="77777777" w:rsidTr="005E468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1F7C89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DIRECCION DE MEJORAMIENTO DE VIVIENDA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1F98D9A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A341F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15,98%</w:t>
            </w:r>
          </w:p>
        </w:tc>
      </w:tr>
      <w:tr w:rsidR="00F32DDA" w14:paraId="73E5FE6E" w14:textId="77777777" w:rsidTr="005E468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8C063A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DIRECCION DE URBANIZACIONES Y TITULACION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7C99F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5E977B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6,51%</w:t>
            </w:r>
          </w:p>
        </w:tc>
      </w:tr>
      <w:tr w:rsidR="00F32DDA" w14:paraId="38883356" w14:textId="77777777" w:rsidTr="005E468E">
        <w:trPr>
          <w:trHeight w:hRule="exact" w:val="30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5EBD5E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SUBDIRECCION FINANCIERA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939F49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5268B9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0,59%</w:t>
            </w:r>
          </w:p>
        </w:tc>
      </w:tr>
      <w:tr w:rsidR="00F32DDA" w14:paraId="72CA95ED" w14:textId="77777777" w:rsidTr="005E468E">
        <w:trPr>
          <w:trHeight w:hRule="exact" w:val="301"/>
        </w:trPr>
        <w:tc>
          <w:tcPr>
            <w:tcW w:w="4480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263193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48AB3F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DE575E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60E68AB3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0763DA8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 xml:space="preserve">SIMA </w:t>
      </w:r>
    </w:p>
    <w:p w14:paraId="1CC45826" w14:textId="77777777" w:rsidR="00F32DDA" w:rsidRDefault="00F32DDA" w:rsidP="00F32DDA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3766620" w14:textId="77777777" w:rsidR="00F32DDA" w:rsidRPr="001079BC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 xml:space="preserve">De los </w:t>
      </w:r>
      <w:r>
        <w:rPr>
          <w:rFonts w:ascii="Arial" w:hAnsi="Arial" w:cs="Arial"/>
        </w:rPr>
        <w:t>169</w:t>
      </w:r>
      <w:r w:rsidRPr="001079BC">
        <w:rPr>
          <w:rFonts w:ascii="Arial" w:hAnsi="Arial" w:cs="Arial"/>
        </w:rPr>
        <w:t xml:space="preserve"> ciudadanos con atención prioritaria en el mes de </w:t>
      </w:r>
      <w:r>
        <w:rPr>
          <w:rFonts w:ascii="Arial" w:hAnsi="Arial" w:cs="Arial"/>
        </w:rPr>
        <w:t>noviembre de 2019</w:t>
      </w:r>
      <w:r w:rsidRPr="001079BC">
        <w:rPr>
          <w:rFonts w:ascii="Arial" w:hAnsi="Arial" w:cs="Arial"/>
        </w:rPr>
        <w:t xml:space="preserve">, los adultos mayores son los que más se acercan a la entidad, con un registro de </w:t>
      </w:r>
      <w:r>
        <w:rPr>
          <w:rFonts w:ascii="Arial" w:hAnsi="Arial" w:cs="Arial"/>
        </w:rPr>
        <w:t>88 personas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52</w:t>
      </w:r>
      <w:r w:rsidRPr="00D46675">
        <w:rPr>
          <w:rFonts w:ascii="Arial" w:hAnsi="Arial" w:cs="Arial"/>
        </w:rPr>
        <w:t>,</w:t>
      </w:r>
      <w:r>
        <w:rPr>
          <w:rFonts w:ascii="Arial" w:hAnsi="Arial" w:cs="Arial"/>
        </w:rPr>
        <w:t>07</w:t>
      </w:r>
      <w:r w:rsidRPr="001079BC">
        <w:rPr>
          <w:rFonts w:ascii="Arial" w:hAnsi="Arial" w:cs="Arial"/>
        </w:rPr>
        <w:t>%).</w:t>
      </w:r>
    </w:p>
    <w:tbl>
      <w:tblPr>
        <w:tblW w:w="101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7"/>
        <w:gridCol w:w="4108"/>
        <w:gridCol w:w="1535"/>
      </w:tblGrid>
      <w:tr w:rsidR="00F32DDA" w14:paraId="75CEC180" w14:textId="77777777" w:rsidTr="00F32DDA">
        <w:trPr>
          <w:trHeight w:hRule="exact" w:val="281"/>
        </w:trPr>
        <w:tc>
          <w:tcPr>
            <w:tcW w:w="10110" w:type="dxa"/>
            <w:gridSpan w:val="3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389591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TIPO DE PRIORIDAD</w:t>
            </w:r>
          </w:p>
        </w:tc>
      </w:tr>
      <w:tr w:rsidR="00F32DDA" w14:paraId="4CB20A49" w14:textId="77777777" w:rsidTr="00F32DDA">
        <w:trPr>
          <w:trHeight w:hRule="exact" w:val="281"/>
        </w:trPr>
        <w:tc>
          <w:tcPr>
            <w:tcW w:w="446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E245F0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 PRIORITARIO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A1B42B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CIUDADANOS ATENDIDOS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89C75C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PORCENTAJE</w:t>
            </w:r>
          </w:p>
        </w:tc>
      </w:tr>
      <w:tr w:rsidR="00F32DDA" w14:paraId="389BBC9B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4161B7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Adulto Mayor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4EA976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C7D0A3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52,07%</w:t>
            </w:r>
          </w:p>
        </w:tc>
      </w:tr>
      <w:tr w:rsidR="00F32DDA" w14:paraId="200C89E0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9F5369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F-04:Mujeres lactantes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4FB977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8AC74D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32,54%</w:t>
            </w:r>
          </w:p>
        </w:tc>
      </w:tr>
      <w:tr w:rsidR="00F32DDA" w14:paraId="5740A2F3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2215D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F-01:Discapacitados/as (no certificado)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96A14E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B73A33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11,83%</w:t>
            </w:r>
          </w:p>
        </w:tc>
      </w:tr>
      <w:tr w:rsidR="00F32DDA" w14:paraId="4FFCF127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817D2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t>F-02:Discapacitados/as (certificado)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76C16F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E7999E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1,78%</w:t>
            </w:r>
          </w:p>
        </w:tc>
      </w:tr>
      <w:tr w:rsidR="00F32DDA" w14:paraId="27467399" w14:textId="77777777" w:rsidTr="00F32DDA">
        <w:trPr>
          <w:trHeight w:hRule="exact" w:val="281"/>
        </w:trPr>
        <w:tc>
          <w:tcPr>
            <w:tcW w:w="0" w:type="auto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BC4C32" w14:textId="77777777" w:rsidR="00F32DDA" w:rsidRDefault="00F32DDA" w:rsidP="005E468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F-03:Mujeres embarazadas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C3F61B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DCE6F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C5186A" w14:textId="77777777" w:rsidR="00F32DDA" w:rsidRDefault="00F32DDA" w:rsidP="005E46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1,78%</w:t>
            </w:r>
          </w:p>
        </w:tc>
      </w:tr>
      <w:tr w:rsidR="00F32DDA" w14:paraId="5700B0D1" w14:textId="77777777" w:rsidTr="00F32DDA">
        <w:trPr>
          <w:trHeight w:hRule="exact" w:val="281"/>
        </w:trPr>
        <w:tc>
          <w:tcPr>
            <w:tcW w:w="4467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CD8D4C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B278D8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000000" w:fill="00B0F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2E750" w14:textId="77777777" w:rsidR="00F32DDA" w:rsidRDefault="00F32DDA" w:rsidP="005E46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100%</w:t>
            </w:r>
          </w:p>
        </w:tc>
      </w:tr>
    </w:tbl>
    <w:p w14:paraId="508C2A13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Temas de consulta</w:t>
      </w:r>
    </w:p>
    <w:p w14:paraId="2C37072D" w14:textId="1A0871A6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  <w:r w:rsidR="00C646C5">
        <w:rPr>
          <w:rFonts w:ascii="Arial" w:hAnsi="Arial" w:cs="Arial"/>
          <w:sz w:val="16"/>
          <w:szCs w:val="16"/>
        </w:rPr>
        <w:t xml:space="preserve"> </w:t>
      </w:r>
    </w:p>
    <w:p w14:paraId="561B0EE1" w14:textId="77777777" w:rsidR="00F32DDA" w:rsidRDefault="00F32DDA" w:rsidP="00F32DD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6716BD28" w14:textId="77777777" w:rsidR="00F32DDA" w:rsidRDefault="00F32DDA" w:rsidP="00F32DDA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</w:p>
    <w:p w14:paraId="6E638530" w14:textId="6F7550E7" w:rsidR="00F32DDA" w:rsidRPr="005B2EA1" w:rsidRDefault="00C646C5" w:rsidP="00F32DDA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DETALLE DE LA ATENCIÓ</w:t>
      </w:r>
      <w:r w:rsidR="00F32DDA" w:rsidRPr="005B2EA1">
        <w:rPr>
          <w:rFonts w:ascii="Arial" w:hAnsi="Arial" w:cs="Arial"/>
          <w:b/>
          <w:u w:val="single"/>
        </w:rPr>
        <w:t>N POR EL CANAL TELEFONICO DE LAS DIFERENTES DEPENDENCIAS</w:t>
      </w:r>
    </w:p>
    <w:p w14:paraId="7AF9849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1605BF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el</w:t>
      </w:r>
      <w:r w:rsidRPr="004671BC">
        <w:rPr>
          <w:rFonts w:ascii="Arial" w:hAnsi="Arial" w:cs="Arial"/>
        </w:rPr>
        <w:t xml:space="preserve"> Canal Telefónico</w:t>
      </w:r>
      <w:r>
        <w:rPr>
          <w:rFonts w:ascii="Arial" w:hAnsi="Arial" w:cs="Arial"/>
        </w:rPr>
        <w:t xml:space="preserve">, que es atendido en </w:t>
      </w:r>
      <w:r w:rsidRPr="004671BC">
        <w:rPr>
          <w:rFonts w:ascii="Arial" w:hAnsi="Arial" w:cs="Arial"/>
        </w:rPr>
        <w:t>la línea (571)</w:t>
      </w:r>
      <w:r>
        <w:rPr>
          <w:rFonts w:ascii="Arial" w:hAnsi="Arial" w:cs="Arial"/>
        </w:rPr>
        <w:t xml:space="preserve"> </w:t>
      </w:r>
      <w:r w:rsidRPr="004671BC">
        <w:rPr>
          <w:rFonts w:ascii="Arial" w:hAnsi="Arial" w:cs="Arial"/>
        </w:rPr>
        <w:t>3494520</w:t>
      </w:r>
      <w:r>
        <w:rPr>
          <w:rFonts w:ascii="Arial" w:hAnsi="Arial" w:cs="Arial"/>
        </w:rPr>
        <w:t xml:space="preserve">, el cual es operado </w:t>
      </w:r>
      <w:r w:rsidRPr="004671BC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 xml:space="preserve">el Servicio al </w:t>
      </w:r>
      <w:r w:rsidRPr="004671BC">
        <w:rPr>
          <w:rFonts w:ascii="Arial" w:hAnsi="Arial" w:cs="Arial"/>
        </w:rPr>
        <w:t xml:space="preserve">Ciudadano </w:t>
      </w:r>
      <w:r>
        <w:rPr>
          <w:rFonts w:ascii="Arial" w:hAnsi="Arial" w:cs="Arial"/>
        </w:rPr>
        <w:t xml:space="preserve">en </w:t>
      </w:r>
      <w:r w:rsidRPr="004671BC">
        <w:rPr>
          <w:rFonts w:ascii="Arial" w:hAnsi="Arial" w:cs="Arial"/>
        </w:rPr>
        <w:t>donde se recibe la llamada</w:t>
      </w:r>
      <w:r>
        <w:rPr>
          <w:rFonts w:ascii="Arial" w:hAnsi="Arial" w:cs="Arial"/>
        </w:rPr>
        <w:t xml:space="preserve">, esta se </w:t>
      </w:r>
      <w:r w:rsidRPr="004671BC">
        <w:rPr>
          <w:rFonts w:ascii="Arial" w:hAnsi="Arial" w:cs="Arial"/>
        </w:rPr>
        <w:t>registr</w:t>
      </w:r>
      <w:r>
        <w:rPr>
          <w:rFonts w:ascii="Arial" w:hAnsi="Arial" w:cs="Arial"/>
        </w:rPr>
        <w:t xml:space="preserve">a en el sistema de información SIMA para posteriormente </w:t>
      </w:r>
      <w:r w:rsidRPr="004671BC">
        <w:rPr>
          <w:rFonts w:ascii="Arial" w:hAnsi="Arial" w:cs="Arial"/>
        </w:rPr>
        <w:t>trans</w:t>
      </w:r>
      <w:r>
        <w:rPr>
          <w:rFonts w:ascii="Arial" w:hAnsi="Arial" w:cs="Arial"/>
        </w:rPr>
        <w:t xml:space="preserve">ferirla </w:t>
      </w:r>
      <w:r w:rsidRPr="004671BC">
        <w:rPr>
          <w:rFonts w:ascii="Arial" w:hAnsi="Arial" w:cs="Arial"/>
        </w:rPr>
        <w:t xml:space="preserve">a las </w:t>
      </w:r>
      <w:r>
        <w:rPr>
          <w:rFonts w:ascii="Arial" w:hAnsi="Arial" w:cs="Arial"/>
        </w:rPr>
        <w:t>e</w:t>
      </w:r>
      <w:r w:rsidRPr="004671BC">
        <w:rPr>
          <w:rFonts w:ascii="Arial" w:hAnsi="Arial" w:cs="Arial"/>
        </w:rPr>
        <w:t>xtensiones de cada una de las dependencias de la C</w:t>
      </w:r>
      <w:r>
        <w:rPr>
          <w:rFonts w:ascii="Arial" w:hAnsi="Arial" w:cs="Arial"/>
        </w:rPr>
        <w:t>VP.</w:t>
      </w:r>
      <w:r w:rsidRPr="001079BC">
        <w:rPr>
          <w:rFonts w:ascii="Arial" w:hAnsi="Arial" w:cs="Arial"/>
        </w:rPr>
        <w:t xml:space="preserve"> </w:t>
      </w:r>
    </w:p>
    <w:p w14:paraId="78B4D4BD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es-ES"/>
        </w:rPr>
      </w:pPr>
      <w:r>
        <w:rPr>
          <w:noProof/>
          <w:lang w:eastAsia="es-CO"/>
        </w:rPr>
        <w:drawing>
          <wp:inline distT="0" distB="0" distL="0" distR="0" wp14:anchorId="267DF87F" wp14:editId="33D24106">
            <wp:extent cx="5562600" cy="4343400"/>
            <wp:effectExtent l="0" t="0" r="19050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rFonts w:ascii="Arial" w:hAnsi="Arial" w:cs="Arial"/>
          <w:bCs/>
          <w:noProof/>
          <w:sz w:val="16"/>
          <w:szCs w:val="16"/>
          <w:lang w:eastAsia="es-CO"/>
        </w:rPr>
        <w:t xml:space="preserve"> </w:t>
      </w:r>
      <w:r>
        <w:rPr>
          <w:rFonts w:ascii="Arial" w:hAnsi="Arial" w:cs="Arial"/>
          <w:bCs/>
          <w:noProof/>
          <w:sz w:val="16"/>
          <w:szCs w:val="16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775E0" wp14:editId="69820BD5">
                <wp:simplePos x="0" y="0"/>
                <wp:positionH relativeFrom="column">
                  <wp:posOffset>-1508125</wp:posOffset>
                </wp:positionH>
                <wp:positionV relativeFrom="paragraph">
                  <wp:posOffset>34925</wp:posOffset>
                </wp:positionV>
                <wp:extent cx="502285" cy="29083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2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75693C" w14:textId="77777777" w:rsidR="00F32DDA" w:rsidRPr="00A21483" w:rsidRDefault="00F32DDA" w:rsidP="00F32DDA">
                            <w:pPr>
                              <w:rPr>
                                <w:b/>
                              </w:rPr>
                            </w:pPr>
                            <w:r w:rsidRPr="00A21483">
                              <w:rPr>
                                <w:b/>
                              </w:rPr>
                              <w:t>148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 Cuadro de texto" o:spid="_x0000_s1026" type="#_x0000_t202" style="position:absolute;left:0;text-align:left;margin-left:-118.75pt;margin-top:2.75pt;width:39.55pt;height:22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" filled="f" stroked="f" strokeweight=".5pt">
                <v:textbox>
                  <w:txbxContent>
                    <w:p w14:paraId="6375693C" w14:textId="77777777" w:rsidR="00F32DDA" w:rsidRPr="00A21483" w:rsidRDefault="00F32DDA" w:rsidP="00F32DDA">
                      <w:pPr>
                        <w:rPr>
                          <w:b/>
                        </w:rPr>
                      </w:pPr>
                      <w:r w:rsidRPr="00A21483">
                        <w:rPr>
                          <w:b/>
                        </w:rPr>
                        <w:t>148</w:t>
                      </w:r>
                    </w:p>
                  </w:txbxContent>
                </v:textbox>
              </v:shape>
            </w:pict>
          </mc:Fallback>
        </mc:AlternateContent>
      </w:r>
    </w:p>
    <w:p w14:paraId="4C5257D6" w14:textId="77777777" w:rsidR="00F32DDA" w:rsidRPr="00050FD7" w:rsidRDefault="00F32DDA" w:rsidP="00F32DDA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lang w:val="es-ES"/>
        </w:rPr>
      </w:pPr>
      <w:r>
        <w:rPr>
          <w:rFonts w:ascii="Arial" w:hAnsi="Arial" w:cs="Arial"/>
          <w:bCs/>
          <w:sz w:val="16"/>
          <w:szCs w:val="16"/>
          <w:lang w:val="es-ES"/>
        </w:rPr>
        <w:t>Llamadas contestadas, no contestadas y ocupado - Noviembre 2019</w:t>
      </w:r>
    </w:p>
    <w:p w14:paraId="0E008C4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50FD7">
        <w:rPr>
          <w:rFonts w:ascii="Arial" w:hAnsi="Arial" w:cs="Arial"/>
          <w:sz w:val="16"/>
          <w:szCs w:val="16"/>
        </w:rPr>
        <w:t xml:space="preserve">Fuente: </w:t>
      </w:r>
      <w:r>
        <w:rPr>
          <w:rFonts w:ascii="Arial" w:hAnsi="Arial" w:cs="Arial"/>
          <w:sz w:val="16"/>
          <w:szCs w:val="16"/>
        </w:rPr>
        <w:t>SIMA</w:t>
      </w:r>
    </w:p>
    <w:p w14:paraId="461249F9" w14:textId="77777777" w:rsidR="00F32DDA" w:rsidRDefault="00F32DDA" w:rsidP="00F32DDA">
      <w:pPr>
        <w:spacing w:after="0" w:line="240" w:lineRule="auto"/>
        <w:jc w:val="center"/>
        <w:rPr>
          <w:rFonts w:ascii="Arial" w:hAnsi="Arial" w:cs="Arial"/>
        </w:rPr>
      </w:pPr>
      <w:r>
        <w:rPr>
          <w:noProof/>
          <w:lang w:eastAsia="es-CO"/>
        </w:rPr>
        <w:lastRenderedPageBreak/>
        <w:drawing>
          <wp:inline distT="0" distB="0" distL="0" distR="0" wp14:anchorId="3D0CD527" wp14:editId="305A0CCA">
            <wp:extent cx="5610225" cy="3800475"/>
            <wp:effectExtent l="0" t="0" r="9525" b="9525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6ACA88D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Informe Conmutador del mes de Noviembre de 2019 discriminado por dependencia.</w:t>
      </w:r>
    </w:p>
    <w:p w14:paraId="68CB13E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Fuente: SIMA</w:t>
      </w:r>
    </w:p>
    <w:p w14:paraId="51C81163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34FD5D7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  <w:r w:rsidRPr="001079BC">
        <w:rPr>
          <w:rFonts w:ascii="Arial" w:hAnsi="Arial" w:cs="Arial"/>
        </w:rPr>
        <w:t>Los registros arrojados por el SIMA, permite establecer</w:t>
      </w:r>
      <w:r>
        <w:rPr>
          <w:rFonts w:ascii="Arial" w:hAnsi="Arial" w:cs="Arial"/>
        </w:rPr>
        <w:t xml:space="preserve"> que</w:t>
      </w:r>
      <w:r w:rsidRPr="0010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la totalidad de las 103</w:t>
      </w:r>
      <w:r w:rsidRPr="001079BC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100</w:t>
      </w:r>
      <w:r w:rsidRPr="001079BC">
        <w:rPr>
          <w:rFonts w:ascii="Arial" w:hAnsi="Arial" w:cs="Arial"/>
        </w:rPr>
        <w:t>%) llamadas</w:t>
      </w:r>
      <w:r>
        <w:rPr>
          <w:rFonts w:ascii="Arial" w:hAnsi="Arial" w:cs="Arial"/>
        </w:rPr>
        <w:t xml:space="preserve">, 91 (88,35%) </w:t>
      </w:r>
      <w:r w:rsidRPr="001079BC">
        <w:rPr>
          <w:rFonts w:ascii="Arial" w:hAnsi="Arial" w:cs="Arial"/>
        </w:rPr>
        <w:t xml:space="preserve">fueron contestadas por </w:t>
      </w:r>
      <w:r>
        <w:rPr>
          <w:rFonts w:ascii="Arial" w:hAnsi="Arial" w:cs="Arial"/>
        </w:rPr>
        <w:t>las</w:t>
      </w:r>
      <w:r w:rsidRPr="001079BC">
        <w:rPr>
          <w:rFonts w:ascii="Arial" w:hAnsi="Arial" w:cs="Arial"/>
        </w:rPr>
        <w:t xml:space="preserve"> área</w:t>
      </w:r>
      <w:r>
        <w:rPr>
          <w:rFonts w:ascii="Arial" w:hAnsi="Arial" w:cs="Arial"/>
        </w:rPr>
        <w:t>s</w:t>
      </w:r>
      <w:r w:rsidRPr="001079BC">
        <w:rPr>
          <w:rFonts w:ascii="Arial" w:hAnsi="Arial" w:cs="Arial"/>
        </w:rPr>
        <w:t xml:space="preserve"> a las cual</w:t>
      </w:r>
      <w:r>
        <w:rPr>
          <w:rFonts w:ascii="Arial" w:hAnsi="Arial" w:cs="Arial"/>
        </w:rPr>
        <w:t>es</w:t>
      </w:r>
      <w:r w:rsidRPr="001079BC">
        <w:rPr>
          <w:rFonts w:ascii="Arial" w:hAnsi="Arial" w:cs="Arial"/>
        </w:rPr>
        <w:t xml:space="preserve"> fueron conmutadas</w:t>
      </w:r>
      <w:r>
        <w:rPr>
          <w:rFonts w:ascii="Arial" w:hAnsi="Arial" w:cs="Arial"/>
        </w:rPr>
        <w:t>, 7 (6,80%) no fueron contestadas y en 5 casos (4,85%) la extensión conmutada se encontraba ocupada.</w:t>
      </w:r>
      <w:r w:rsidRPr="001079BC">
        <w:rPr>
          <w:rFonts w:ascii="Arial" w:hAnsi="Arial" w:cs="Arial"/>
        </w:rPr>
        <w:t xml:space="preserve"> De igual manera se puede observar que el área con más llamadas recibidas es </w:t>
      </w:r>
      <w:r>
        <w:rPr>
          <w:rFonts w:ascii="Arial" w:hAnsi="Arial" w:cs="Arial"/>
        </w:rPr>
        <w:t xml:space="preserve">la </w:t>
      </w:r>
      <w:r w:rsidRPr="001079BC">
        <w:rPr>
          <w:rFonts w:ascii="Arial" w:hAnsi="Arial" w:cs="Arial"/>
        </w:rPr>
        <w:t xml:space="preserve">Dirección de </w:t>
      </w:r>
      <w:r>
        <w:rPr>
          <w:rFonts w:ascii="Arial" w:hAnsi="Arial" w:cs="Arial"/>
        </w:rPr>
        <w:t>Reasentamientos</w:t>
      </w:r>
      <w:r w:rsidRPr="001079BC">
        <w:rPr>
          <w:rFonts w:ascii="Arial" w:hAnsi="Arial" w:cs="Arial"/>
        </w:rPr>
        <w:t xml:space="preserve"> con </w:t>
      </w:r>
      <w:r>
        <w:rPr>
          <w:rFonts w:ascii="Arial" w:hAnsi="Arial" w:cs="Arial"/>
        </w:rPr>
        <w:t>54</w:t>
      </w:r>
      <w:r w:rsidRPr="001079BC">
        <w:rPr>
          <w:rFonts w:ascii="Arial" w:hAnsi="Arial" w:cs="Arial"/>
        </w:rPr>
        <w:t xml:space="preserve"> registros telefónicos, lo que representa un </w:t>
      </w:r>
      <w:r>
        <w:rPr>
          <w:rFonts w:ascii="Arial" w:hAnsi="Arial" w:cs="Arial"/>
        </w:rPr>
        <w:t>52,43%.</w:t>
      </w:r>
    </w:p>
    <w:p w14:paraId="28CB488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9AA88CA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3E4E6FC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222AFDB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67C155D9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7F07583E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7D150B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413333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3FA05C35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5FE42EF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065A90F6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5B77E171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21108F1C" w14:textId="77777777" w:rsidR="00F32DDA" w:rsidRDefault="00F32DDA" w:rsidP="00F32DDA">
      <w:pPr>
        <w:spacing w:after="0" w:line="240" w:lineRule="auto"/>
        <w:jc w:val="both"/>
        <w:rPr>
          <w:rFonts w:ascii="Arial" w:hAnsi="Arial" w:cs="Arial"/>
        </w:rPr>
      </w:pPr>
    </w:p>
    <w:p w14:paraId="134EDD99" w14:textId="77777777" w:rsidR="00F32DDA" w:rsidRPr="00635E63" w:rsidRDefault="00F32DDA" w:rsidP="00F32DDA">
      <w:pPr>
        <w:pStyle w:val="Prrafodelista"/>
        <w:numPr>
          <w:ilvl w:val="0"/>
          <w:numId w:val="9"/>
        </w:numPr>
        <w:shd w:val="clear" w:color="auto" w:fill="FFFFFF"/>
        <w:spacing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lang w:eastAsia="es-CO"/>
        </w:rPr>
      </w:pPr>
      <w:r w:rsidRPr="00635E63">
        <w:rPr>
          <w:rFonts w:ascii="Arial" w:eastAsia="Times New Roman" w:hAnsi="Arial" w:cs="Arial"/>
          <w:b/>
          <w:color w:val="222222"/>
          <w:lang w:eastAsia="es-CO"/>
        </w:rPr>
        <w:t>CONCLUSIONES</w:t>
      </w:r>
    </w:p>
    <w:p w14:paraId="5397E171" w14:textId="77777777" w:rsidR="00F32DDA" w:rsidRPr="001079BC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lang w:eastAsia="es-CO"/>
        </w:rPr>
      </w:pPr>
    </w:p>
    <w:p w14:paraId="04B081FF" w14:textId="77777777" w:rsidR="00F32DDA" w:rsidRPr="009858C2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858C2">
        <w:rPr>
          <w:rFonts w:ascii="Arial" w:hAnsi="Arial" w:cs="Arial"/>
        </w:rPr>
        <w:t xml:space="preserve">Para el mes de </w:t>
      </w:r>
      <w:r>
        <w:rPr>
          <w:rFonts w:ascii="Arial" w:hAnsi="Arial" w:cs="Arial"/>
        </w:rPr>
        <w:t>noviembre</w:t>
      </w:r>
      <w:r w:rsidRPr="009858C2">
        <w:rPr>
          <w:rFonts w:ascii="Arial" w:hAnsi="Arial" w:cs="Arial"/>
        </w:rPr>
        <w:t xml:space="preserve"> de 2019 a la entidad se acercaron </w:t>
      </w:r>
      <w:r>
        <w:rPr>
          <w:rFonts w:ascii="Arial" w:hAnsi="Arial" w:cs="Arial"/>
        </w:rPr>
        <w:t>2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343</w:t>
      </w:r>
      <w:r w:rsidRPr="009858C2">
        <w:rPr>
          <w:rFonts w:ascii="Arial" w:hAnsi="Arial" w:cs="Arial"/>
        </w:rPr>
        <w:t xml:space="preserve"> ciudadanos, de los cuales </w:t>
      </w:r>
      <w:r>
        <w:rPr>
          <w:rFonts w:ascii="Arial" w:hAnsi="Arial" w:cs="Arial"/>
        </w:rPr>
        <w:t xml:space="preserve">la gran mayoría </w:t>
      </w:r>
      <w:r w:rsidRPr="009858C2">
        <w:rPr>
          <w:rFonts w:ascii="Arial" w:hAnsi="Arial" w:cs="Arial"/>
        </w:rPr>
        <w:t xml:space="preserve">lo hicieron con el objetivo de conocer el estado del proceso o para solicitar información general de los programas a los cuales se acercaron. De manera consolidada, de enero a </w:t>
      </w:r>
      <w:r>
        <w:rPr>
          <w:rFonts w:ascii="Arial" w:hAnsi="Arial" w:cs="Arial"/>
        </w:rPr>
        <w:t>noviembre</w:t>
      </w:r>
      <w:r w:rsidRPr="009858C2">
        <w:rPr>
          <w:rFonts w:ascii="Arial" w:hAnsi="Arial" w:cs="Arial"/>
        </w:rPr>
        <w:t xml:space="preserve"> de 2019, se han acercado a la entidad </w:t>
      </w:r>
      <w:r>
        <w:rPr>
          <w:rFonts w:ascii="Arial" w:hAnsi="Arial" w:cs="Arial"/>
        </w:rPr>
        <w:t>34</w:t>
      </w:r>
      <w:r w:rsidRPr="009858C2">
        <w:rPr>
          <w:rFonts w:ascii="Arial" w:hAnsi="Arial" w:cs="Arial"/>
        </w:rPr>
        <w:t>.</w:t>
      </w:r>
      <w:r>
        <w:rPr>
          <w:rFonts w:ascii="Arial" w:hAnsi="Arial" w:cs="Arial"/>
        </w:rPr>
        <w:t>640</w:t>
      </w:r>
      <w:r w:rsidRPr="009858C2">
        <w:rPr>
          <w:rFonts w:ascii="Arial" w:hAnsi="Arial" w:cs="Arial"/>
        </w:rPr>
        <w:t xml:space="preserve"> (100%) ciudadanos/usuarios</w:t>
      </w:r>
      <w:r>
        <w:rPr>
          <w:rFonts w:ascii="Arial" w:hAnsi="Arial" w:cs="Arial"/>
        </w:rPr>
        <w:t>.</w:t>
      </w:r>
    </w:p>
    <w:p w14:paraId="0277D43B" w14:textId="77777777" w:rsidR="00F32DDA" w:rsidRPr="00BD15EA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  <w:highlight w:val="yellow"/>
        </w:rPr>
      </w:pPr>
    </w:p>
    <w:p w14:paraId="4A157E93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Se establece la importancia de implementar la Política de Gobierno Digital, que permita fomentar el acceso a la información de una manera más ágil; abordando las herramientas tecnológicas como la página web, las redes sociales y aplicativos para Smartphone, lo cual permitirá de alguna manera descongestionar el área de atención al ciudadano y la misma entidad; mejorando la calidad de vida de los ciudadanos/usuarios que acceden a la entidad.</w:t>
      </w:r>
    </w:p>
    <w:p w14:paraId="35A5AE83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3024B1A8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Dar a conocer en detalle al usuario los diferentes canales de interacción, puntos de  atención en terreno y en la CVP, evitando que los Ciudadanos más vulnerables tengan que desplazarse lejos de su vivienda.</w:t>
      </w:r>
    </w:p>
    <w:p w14:paraId="0AC03A40" w14:textId="77777777" w:rsidR="00F32DDA" w:rsidRPr="007104FC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14:paraId="0B874FEB" w14:textId="77777777" w:rsidR="00F32DDA" w:rsidRDefault="00F32DDA" w:rsidP="00F32DDA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7104FC">
        <w:rPr>
          <w:rFonts w:ascii="Arial" w:hAnsi="Arial" w:cs="Arial"/>
        </w:rPr>
        <w:t>Facilitar el acceso a la información sobre los trámites y servicios que presta la entidad de manera virtual, permitirá empoderar a los ciudadanos; haciéndolos participes en la construcción de una ¡BOGOTA MEJOR PARA TODOS!</w:t>
      </w:r>
    </w:p>
    <w:p w14:paraId="6111935B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A4EF19B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4197C88F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76F5FC86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55E59411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636E45E3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</w:p>
    <w:p w14:paraId="187BFD05" w14:textId="77777777" w:rsidR="00F32DDA" w:rsidRPr="002E720E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</w:pPr>
      <w:r>
        <w:rPr>
          <w:rFonts w:ascii="Arial" w:eastAsia="Times New Roman" w:hAnsi="Arial" w:cs="Arial"/>
          <w:b/>
          <w:color w:val="222222"/>
          <w:sz w:val="19"/>
          <w:szCs w:val="19"/>
          <w:lang w:eastAsia="es-CO"/>
        </w:rPr>
        <w:t>EDGAR DAVID MOTTA REVOLLO</w:t>
      </w:r>
    </w:p>
    <w:p w14:paraId="67A65D57" w14:textId="77777777" w:rsidR="00F32DDA" w:rsidRPr="002E720E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s-CO"/>
        </w:rPr>
      </w:pPr>
      <w:r w:rsidRPr="002E720E">
        <w:rPr>
          <w:rFonts w:ascii="Arial" w:eastAsia="Times New Roman" w:hAnsi="Arial" w:cs="Arial"/>
          <w:color w:val="222222"/>
          <w:sz w:val="19"/>
          <w:szCs w:val="19"/>
          <w:lang w:eastAsia="es-CO"/>
        </w:rPr>
        <w:t>Director de Gestión Corporativa y CID</w:t>
      </w:r>
      <w:r>
        <w:rPr>
          <w:rFonts w:ascii="Arial" w:eastAsia="Times New Roman" w:hAnsi="Arial" w:cs="Arial"/>
          <w:color w:val="222222"/>
          <w:sz w:val="19"/>
          <w:szCs w:val="19"/>
          <w:lang w:eastAsia="es-CO"/>
        </w:rPr>
        <w:t xml:space="preserve"> </w:t>
      </w:r>
    </w:p>
    <w:p w14:paraId="7457B91B" w14:textId="77777777" w:rsidR="00F32DDA" w:rsidRPr="00AF0CB1" w:rsidRDefault="00F32DDA" w:rsidP="00F32DD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652D3A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Elaboró: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Oscar Ramírez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Ramírez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-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646 de 2019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188503FB" w14:textId="77777777" w:rsidR="00F32DDA" w:rsidRPr="007E2536" w:rsidRDefault="00F32DDA" w:rsidP="00F32DDA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              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ab/>
      </w:r>
    </w:p>
    <w:p w14:paraId="41F67BF7" w14:textId="77777777" w:rsidR="00F32DDA" w:rsidRDefault="00F32DDA" w:rsidP="00F32D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ab/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Cesar Combita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Caceres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 - Profesional Especializado 222-05</w:t>
      </w: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ab/>
      </w:r>
    </w:p>
    <w:p w14:paraId="27FE8D05" w14:textId="77777777" w:rsidR="00F32DDA" w:rsidRDefault="00F32DDA" w:rsidP="00F32D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Roberto Carlos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>Narvaéz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Cortes - Contratista (30 de 2019)</w:t>
      </w:r>
    </w:p>
    <w:p w14:paraId="6B74CDEF" w14:textId="77777777" w:rsidR="00F32DDA" w:rsidRPr="007E2536" w:rsidRDefault="00F32DDA" w:rsidP="00F32DD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16"/>
          <w:szCs w:val="16"/>
          <w:lang w:eastAsia="es-CO"/>
        </w:rPr>
      </w:pPr>
      <w:proofErr w:type="spellStart"/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>Darryn</w:t>
      </w:r>
      <w:proofErr w:type="spellEnd"/>
      <w:r w:rsidRPr="007E2536">
        <w:rPr>
          <w:rFonts w:ascii="Arial" w:eastAsia="Times New Roman" w:hAnsi="Arial" w:cs="Arial"/>
          <w:color w:val="222222"/>
          <w:sz w:val="16"/>
          <w:szCs w:val="16"/>
          <w:lang w:eastAsia="es-CO"/>
        </w:rPr>
        <w:t xml:space="preserve"> Calderón Trujillo - 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Contratista (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 xml:space="preserve">002 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de 201</w:t>
      </w:r>
      <w:r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9</w:t>
      </w:r>
      <w:r w:rsidRPr="007E2536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eastAsia="es-CO"/>
        </w:rPr>
        <w:t>)</w:t>
      </w:r>
    </w:p>
    <w:p w14:paraId="7B0D30D9" w14:textId="77777777" w:rsidR="00F32DDA" w:rsidRPr="00AF0CB1" w:rsidRDefault="00F32DDA" w:rsidP="00F32DD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2418749" w14:textId="77777777" w:rsidR="002A4276" w:rsidRPr="00F32DDA" w:rsidRDefault="002A4276" w:rsidP="00F32DDA"/>
    <w:sectPr w:rsidR="002A4276" w:rsidRPr="00F32DDA" w:rsidSect="00F81585">
      <w:headerReference w:type="default" r:id="rId13"/>
      <w:footerReference w:type="default" r:id="rId14"/>
      <w:pgSz w:w="12240" w:h="15840" w:code="1"/>
      <w:pgMar w:top="2268" w:right="1134" w:bottom="1134" w:left="1701" w:header="709" w:footer="1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E86EAD" w14:textId="77777777" w:rsidR="00EE6064" w:rsidRDefault="00EE6064" w:rsidP="000C58E8">
      <w:pPr>
        <w:spacing w:after="0" w:line="240" w:lineRule="auto"/>
      </w:pPr>
      <w:r>
        <w:separator/>
      </w:r>
    </w:p>
  </w:endnote>
  <w:endnote w:type="continuationSeparator" w:id="0">
    <w:p w14:paraId="3ABD4FF9" w14:textId="77777777" w:rsidR="00EE6064" w:rsidRDefault="00EE6064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470D6" w14:textId="77777777" w:rsidR="00CC0827" w:rsidRDefault="00CC0827" w:rsidP="00921972">
    <w:pPr>
      <w:pStyle w:val="Piedepgina"/>
      <w:ind w:left="-1701"/>
      <w:jc w:val="right"/>
    </w:pPr>
    <w:r>
      <w:rPr>
        <w:lang w:val="es-ES"/>
      </w:rP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541DCA" w:rsidRPr="00541DCA">
      <w:rPr>
        <w:b/>
        <w:bCs/>
        <w:noProof/>
        <w:lang w:val="es-ES"/>
      </w:rPr>
      <w:t>1</w:t>
    </w:r>
    <w:r>
      <w:rPr>
        <w:b/>
        <w:bCs/>
      </w:rPr>
      <w:fldChar w:fldCharType="end"/>
    </w:r>
    <w:r>
      <w:rPr>
        <w:lang w:val="es-ES"/>
      </w:rP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541DCA" w:rsidRPr="00541DCA">
      <w:rPr>
        <w:b/>
        <w:bCs/>
        <w:noProof/>
        <w:lang w:val="es-ES"/>
      </w:rPr>
      <w:t>9</w:t>
    </w:r>
    <w:r>
      <w:rPr>
        <w:b/>
        <w:bCs/>
      </w:rPr>
      <w:fldChar w:fldCharType="end"/>
    </w:r>
  </w:p>
  <w:p w14:paraId="1399888D" w14:textId="77777777" w:rsidR="00CC0827" w:rsidRDefault="00CC0827" w:rsidP="00EB711D">
    <w:pPr>
      <w:pStyle w:val="Piedepgina"/>
      <w:ind w:left="-1701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07B7" wp14:editId="560EA290">
              <wp:simplePos x="0" y="0"/>
              <wp:positionH relativeFrom="column">
                <wp:posOffset>-32385</wp:posOffset>
              </wp:positionH>
              <wp:positionV relativeFrom="paragraph">
                <wp:posOffset>37465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6098BE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>Código: 208-SC-Ft-01</w:t>
                          </w:r>
                        </w:p>
                        <w:p w14:paraId="3ED09102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6257C75A" w14:textId="77777777" w:rsidR="00CC0827" w:rsidRPr="0064392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643927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30</w:t>
                          </w:r>
                          <w:r w:rsidRPr="00643927">
                            <w:rPr>
                              <w:sz w:val="12"/>
                              <w:szCs w:val="12"/>
                            </w:rPr>
                            <w:t>/01/2019</w:t>
                          </w:r>
                        </w:p>
                        <w:p w14:paraId="5C87A86D" w14:textId="77777777" w:rsidR="00CC0827" w:rsidRPr="00F70E87" w:rsidRDefault="00CC0827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3 Rectángulo" o:spid="_x0000_s1027" style="position:absolute;left:0;text-align:left;margin-left:-2.55pt;margin-top:2.95pt;width:69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" fillcolor="white [3212]" strokecolor="white [3212]" strokeweight="2pt">
              <v:textbox>
                <w:txbxContent>
                  <w:p w14:paraId="326098BE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>Código: 208-SC-Ft-01</w:t>
                    </w:r>
                  </w:p>
                  <w:p w14:paraId="3ED09102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6257C75A" w14:textId="77777777" w:rsidR="00CC0827" w:rsidRPr="0064392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643927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30</w:t>
                    </w:r>
                    <w:r w:rsidRPr="00643927">
                      <w:rPr>
                        <w:sz w:val="12"/>
                        <w:szCs w:val="12"/>
                      </w:rPr>
                      <w:t>/01/2019</w:t>
                    </w:r>
                  </w:p>
                  <w:p w14:paraId="5C87A86D" w14:textId="77777777" w:rsidR="00CC0827" w:rsidRPr="00F70E87" w:rsidRDefault="00CC0827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w:drawing>
        <wp:anchor distT="0" distB="0" distL="114300" distR="114300" simplePos="0" relativeHeight="251657216" behindDoc="1" locked="0" layoutInCell="1" allowOverlap="1" wp14:anchorId="0A7F592A" wp14:editId="528C547B">
          <wp:simplePos x="0" y="0"/>
          <wp:positionH relativeFrom="page">
            <wp:posOffset>619126</wp:posOffset>
          </wp:positionH>
          <wp:positionV relativeFrom="paragraph">
            <wp:posOffset>113665</wp:posOffset>
          </wp:positionV>
          <wp:extent cx="6838950" cy="122745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FC002C" w14:textId="77777777" w:rsidR="00EE6064" w:rsidRDefault="00EE6064" w:rsidP="000C58E8">
      <w:pPr>
        <w:spacing w:after="0" w:line="240" w:lineRule="auto"/>
      </w:pPr>
      <w:r>
        <w:separator/>
      </w:r>
    </w:p>
  </w:footnote>
  <w:footnote w:type="continuationSeparator" w:id="0">
    <w:p w14:paraId="086EE4E7" w14:textId="77777777" w:rsidR="00EE6064" w:rsidRDefault="00EE6064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1F16AE" w14:textId="77777777" w:rsidR="00CC0827" w:rsidRPr="00177920" w:rsidRDefault="00CC0827" w:rsidP="00F66CEC">
    <w:pPr>
      <w:pStyle w:val="Encabezado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sz w:val="24"/>
        <w:szCs w:val="24"/>
      </w:rPr>
      <w:t xml:space="preserve">                                                                </w:t>
    </w:r>
    <w:r>
      <w:rPr>
        <w:rFonts w:ascii="Times New Roman" w:hAnsi="Times New Roman"/>
        <w:b/>
        <w:noProof/>
        <w:sz w:val="24"/>
        <w:szCs w:val="24"/>
        <w:lang w:eastAsia="es-CO"/>
      </w:rPr>
      <w:drawing>
        <wp:inline distT="0" distB="0" distL="0" distR="0" wp14:anchorId="2BD11A02" wp14:editId="0FDF969F">
          <wp:extent cx="900000" cy="900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5D28C" w14:textId="77777777" w:rsidR="00CC0827" w:rsidRDefault="00CC0827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73B03D0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DA"/>
    <w:rsid w:val="00002905"/>
    <w:rsid w:val="0000332F"/>
    <w:rsid w:val="00003A92"/>
    <w:rsid w:val="00004084"/>
    <w:rsid w:val="00006E1A"/>
    <w:rsid w:val="00013FF2"/>
    <w:rsid w:val="00014B0A"/>
    <w:rsid w:val="000256D8"/>
    <w:rsid w:val="00027F6A"/>
    <w:rsid w:val="00031F3B"/>
    <w:rsid w:val="000335B7"/>
    <w:rsid w:val="00035E4F"/>
    <w:rsid w:val="00050E76"/>
    <w:rsid w:val="000510C3"/>
    <w:rsid w:val="00051E81"/>
    <w:rsid w:val="00055B47"/>
    <w:rsid w:val="00066096"/>
    <w:rsid w:val="00076C23"/>
    <w:rsid w:val="000773A3"/>
    <w:rsid w:val="00077DE1"/>
    <w:rsid w:val="00082607"/>
    <w:rsid w:val="00082A2E"/>
    <w:rsid w:val="00083E8F"/>
    <w:rsid w:val="00084956"/>
    <w:rsid w:val="00090C46"/>
    <w:rsid w:val="00096F6A"/>
    <w:rsid w:val="000A1EAA"/>
    <w:rsid w:val="000A3925"/>
    <w:rsid w:val="000B2C3B"/>
    <w:rsid w:val="000C19AF"/>
    <w:rsid w:val="000C3678"/>
    <w:rsid w:val="000C4A79"/>
    <w:rsid w:val="000C58E8"/>
    <w:rsid w:val="000D0403"/>
    <w:rsid w:val="000D0F4C"/>
    <w:rsid w:val="000D1A76"/>
    <w:rsid w:val="000D4179"/>
    <w:rsid w:val="000D72BC"/>
    <w:rsid w:val="000E1755"/>
    <w:rsid w:val="000E2D99"/>
    <w:rsid w:val="000E6F99"/>
    <w:rsid w:val="000F1B99"/>
    <w:rsid w:val="000F39D9"/>
    <w:rsid w:val="001011D2"/>
    <w:rsid w:val="0010310A"/>
    <w:rsid w:val="001050D4"/>
    <w:rsid w:val="00107821"/>
    <w:rsid w:val="00114036"/>
    <w:rsid w:val="0011627F"/>
    <w:rsid w:val="00121000"/>
    <w:rsid w:val="001216E1"/>
    <w:rsid w:val="00123367"/>
    <w:rsid w:val="00130AD5"/>
    <w:rsid w:val="00132855"/>
    <w:rsid w:val="0014006E"/>
    <w:rsid w:val="00141A69"/>
    <w:rsid w:val="00142097"/>
    <w:rsid w:val="00142554"/>
    <w:rsid w:val="0014363D"/>
    <w:rsid w:val="0015130E"/>
    <w:rsid w:val="00164AA5"/>
    <w:rsid w:val="00173D59"/>
    <w:rsid w:val="00177920"/>
    <w:rsid w:val="0018498E"/>
    <w:rsid w:val="00186BE7"/>
    <w:rsid w:val="00190327"/>
    <w:rsid w:val="0019480F"/>
    <w:rsid w:val="001964B7"/>
    <w:rsid w:val="001A17FE"/>
    <w:rsid w:val="001A450D"/>
    <w:rsid w:val="001B0ED4"/>
    <w:rsid w:val="001B123F"/>
    <w:rsid w:val="001B78D3"/>
    <w:rsid w:val="001C0468"/>
    <w:rsid w:val="001C45E6"/>
    <w:rsid w:val="001C59BC"/>
    <w:rsid w:val="001D2790"/>
    <w:rsid w:val="001D5963"/>
    <w:rsid w:val="001E0FAD"/>
    <w:rsid w:val="001E11AE"/>
    <w:rsid w:val="001E3E1F"/>
    <w:rsid w:val="001F0136"/>
    <w:rsid w:val="001F1FDD"/>
    <w:rsid w:val="001F2245"/>
    <w:rsid w:val="0020294A"/>
    <w:rsid w:val="002034E3"/>
    <w:rsid w:val="002068B9"/>
    <w:rsid w:val="00207377"/>
    <w:rsid w:val="00210CB9"/>
    <w:rsid w:val="00215786"/>
    <w:rsid w:val="00221395"/>
    <w:rsid w:val="00221BD1"/>
    <w:rsid w:val="00221EC5"/>
    <w:rsid w:val="00241A63"/>
    <w:rsid w:val="002427F6"/>
    <w:rsid w:val="00243EDA"/>
    <w:rsid w:val="0024486E"/>
    <w:rsid w:val="002475BD"/>
    <w:rsid w:val="0025079D"/>
    <w:rsid w:val="00261620"/>
    <w:rsid w:val="00270462"/>
    <w:rsid w:val="00271C6C"/>
    <w:rsid w:val="00271D68"/>
    <w:rsid w:val="0027224F"/>
    <w:rsid w:val="00275724"/>
    <w:rsid w:val="00276863"/>
    <w:rsid w:val="002772CA"/>
    <w:rsid w:val="0027777A"/>
    <w:rsid w:val="002A4008"/>
    <w:rsid w:val="002A4276"/>
    <w:rsid w:val="002A4E15"/>
    <w:rsid w:val="002A568E"/>
    <w:rsid w:val="002B058C"/>
    <w:rsid w:val="002B0B64"/>
    <w:rsid w:val="002B28C0"/>
    <w:rsid w:val="002C1716"/>
    <w:rsid w:val="002C3454"/>
    <w:rsid w:val="002C4B68"/>
    <w:rsid w:val="002C5A58"/>
    <w:rsid w:val="002C67B6"/>
    <w:rsid w:val="002D76C6"/>
    <w:rsid w:val="002F59A8"/>
    <w:rsid w:val="00302E32"/>
    <w:rsid w:val="00303675"/>
    <w:rsid w:val="003074CA"/>
    <w:rsid w:val="00310F17"/>
    <w:rsid w:val="00316D58"/>
    <w:rsid w:val="00321EAC"/>
    <w:rsid w:val="00325217"/>
    <w:rsid w:val="00326F09"/>
    <w:rsid w:val="0034127D"/>
    <w:rsid w:val="00342842"/>
    <w:rsid w:val="00344DD7"/>
    <w:rsid w:val="00346170"/>
    <w:rsid w:val="00352B19"/>
    <w:rsid w:val="00362360"/>
    <w:rsid w:val="00370B94"/>
    <w:rsid w:val="0037735E"/>
    <w:rsid w:val="00380632"/>
    <w:rsid w:val="00380FF0"/>
    <w:rsid w:val="003877AF"/>
    <w:rsid w:val="00387C4A"/>
    <w:rsid w:val="0039099A"/>
    <w:rsid w:val="00393505"/>
    <w:rsid w:val="0039692B"/>
    <w:rsid w:val="003A0989"/>
    <w:rsid w:val="003A3FF5"/>
    <w:rsid w:val="003A4896"/>
    <w:rsid w:val="003B768C"/>
    <w:rsid w:val="003C5CA8"/>
    <w:rsid w:val="003D08FF"/>
    <w:rsid w:val="003D112B"/>
    <w:rsid w:val="003D199E"/>
    <w:rsid w:val="003D1AA8"/>
    <w:rsid w:val="003E4BB7"/>
    <w:rsid w:val="003E6E7A"/>
    <w:rsid w:val="003F6965"/>
    <w:rsid w:val="00407FB8"/>
    <w:rsid w:val="00414BA1"/>
    <w:rsid w:val="00416CD4"/>
    <w:rsid w:val="00422ADE"/>
    <w:rsid w:val="0042440B"/>
    <w:rsid w:val="004251D6"/>
    <w:rsid w:val="00427F6F"/>
    <w:rsid w:val="00442C45"/>
    <w:rsid w:val="00447B1C"/>
    <w:rsid w:val="00452B20"/>
    <w:rsid w:val="00454A74"/>
    <w:rsid w:val="00460A2B"/>
    <w:rsid w:val="00462346"/>
    <w:rsid w:val="004678F8"/>
    <w:rsid w:val="00473324"/>
    <w:rsid w:val="00473860"/>
    <w:rsid w:val="0047514A"/>
    <w:rsid w:val="004807E7"/>
    <w:rsid w:val="00481A67"/>
    <w:rsid w:val="004833D6"/>
    <w:rsid w:val="00490294"/>
    <w:rsid w:val="00491274"/>
    <w:rsid w:val="004A1F2E"/>
    <w:rsid w:val="004A43D8"/>
    <w:rsid w:val="004A6C5B"/>
    <w:rsid w:val="004A779E"/>
    <w:rsid w:val="004B0618"/>
    <w:rsid w:val="004C20AC"/>
    <w:rsid w:val="004D102E"/>
    <w:rsid w:val="004D1B2E"/>
    <w:rsid w:val="004D5A43"/>
    <w:rsid w:val="004D73FD"/>
    <w:rsid w:val="004D7932"/>
    <w:rsid w:val="004E2C24"/>
    <w:rsid w:val="004E35FD"/>
    <w:rsid w:val="004E4D9D"/>
    <w:rsid w:val="004F5E67"/>
    <w:rsid w:val="005037DA"/>
    <w:rsid w:val="00507A32"/>
    <w:rsid w:val="0051483F"/>
    <w:rsid w:val="00517308"/>
    <w:rsid w:val="0052686B"/>
    <w:rsid w:val="00526B6F"/>
    <w:rsid w:val="005337DE"/>
    <w:rsid w:val="00541DCA"/>
    <w:rsid w:val="005445BE"/>
    <w:rsid w:val="0054763A"/>
    <w:rsid w:val="005546AF"/>
    <w:rsid w:val="00554FB0"/>
    <w:rsid w:val="00561A19"/>
    <w:rsid w:val="00562ED1"/>
    <w:rsid w:val="005655B5"/>
    <w:rsid w:val="00573580"/>
    <w:rsid w:val="00573E9E"/>
    <w:rsid w:val="00583D83"/>
    <w:rsid w:val="0058459B"/>
    <w:rsid w:val="00590865"/>
    <w:rsid w:val="0059119F"/>
    <w:rsid w:val="005956BE"/>
    <w:rsid w:val="005A2861"/>
    <w:rsid w:val="005A298E"/>
    <w:rsid w:val="005A328F"/>
    <w:rsid w:val="005B35F9"/>
    <w:rsid w:val="005B3B9D"/>
    <w:rsid w:val="005B6B5D"/>
    <w:rsid w:val="005C7641"/>
    <w:rsid w:val="005D6B51"/>
    <w:rsid w:val="005E0F94"/>
    <w:rsid w:val="005E111E"/>
    <w:rsid w:val="005E2998"/>
    <w:rsid w:val="005E3FD3"/>
    <w:rsid w:val="005F286C"/>
    <w:rsid w:val="0060029B"/>
    <w:rsid w:val="00603917"/>
    <w:rsid w:val="00605F59"/>
    <w:rsid w:val="006072C5"/>
    <w:rsid w:val="00615698"/>
    <w:rsid w:val="00620137"/>
    <w:rsid w:val="006227DB"/>
    <w:rsid w:val="0063656D"/>
    <w:rsid w:val="006430E4"/>
    <w:rsid w:val="00643927"/>
    <w:rsid w:val="006460A2"/>
    <w:rsid w:val="006506FD"/>
    <w:rsid w:val="0065122C"/>
    <w:rsid w:val="006512C3"/>
    <w:rsid w:val="006517C6"/>
    <w:rsid w:val="00652041"/>
    <w:rsid w:val="00655BA7"/>
    <w:rsid w:val="00660DEE"/>
    <w:rsid w:val="006639DA"/>
    <w:rsid w:val="00663FC5"/>
    <w:rsid w:val="006726D3"/>
    <w:rsid w:val="00674CCD"/>
    <w:rsid w:val="00676A2A"/>
    <w:rsid w:val="006774B3"/>
    <w:rsid w:val="0068406C"/>
    <w:rsid w:val="00690BBA"/>
    <w:rsid w:val="00695A7B"/>
    <w:rsid w:val="006A134B"/>
    <w:rsid w:val="006A5421"/>
    <w:rsid w:val="006B104C"/>
    <w:rsid w:val="006B7351"/>
    <w:rsid w:val="006C09AA"/>
    <w:rsid w:val="006D2443"/>
    <w:rsid w:val="006D7AC5"/>
    <w:rsid w:val="006E54C6"/>
    <w:rsid w:val="006F0C20"/>
    <w:rsid w:val="006F12B9"/>
    <w:rsid w:val="006F2F06"/>
    <w:rsid w:val="006F5219"/>
    <w:rsid w:val="006F6E73"/>
    <w:rsid w:val="00711BE8"/>
    <w:rsid w:val="007170E0"/>
    <w:rsid w:val="00720CCA"/>
    <w:rsid w:val="00724128"/>
    <w:rsid w:val="00725086"/>
    <w:rsid w:val="00725BD5"/>
    <w:rsid w:val="007307BA"/>
    <w:rsid w:val="00735E4F"/>
    <w:rsid w:val="00736597"/>
    <w:rsid w:val="00736F7B"/>
    <w:rsid w:val="007375DE"/>
    <w:rsid w:val="007407B7"/>
    <w:rsid w:val="0074176C"/>
    <w:rsid w:val="00751BE6"/>
    <w:rsid w:val="0075217F"/>
    <w:rsid w:val="00753EE7"/>
    <w:rsid w:val="0075607E"/>
    <w:rsid w:val="00761B46"/>
    <w:rsid w:val="00762049"/>
    <w:rsid w:val="00766E35"/>
    <w:rsid w:val="007725AF"/>
    <w:rsid w:val="00776343"/>
    <w:rsid w:val="007800CC"/>
    <w:rsid w:val="00784070"/>
    <w:rsid w:val="00793709"/>
    <w:rsid w:val="007A0634"/>
    <w:rsid w:val="007A0FF5"/>
    <w:rsid w:val="007B1DBC"/>
    <w:rsid w:val="007B5930"/>
    <w:rsid w:val="007C274C"/>
    <w:rsid w:val="007C2FEA"/>
    <w:rsid w:val="007C7D13"/>
    <w:rsid w:val="007D224B"/>
    <w:rsid w:val="007E046B"/>
    <w:rsid w:val="007F54A7"/>
    <w:rsid w:val="007F62AA"/>
    <w:rsid w:val="00801F02"/>
    <w:rsid w:val="00802CB7"/>
    <w:rsid w:val="0081152E"/>
    <w:rsid w:val="0081468D"/>
    <w:rsid w:val="00816612"/>
    <w:rsid w:val="00825DB4"/>
    <w:rsid w:val="00826747"/>
    <w:rsid w:val="00830680"/>
    <w:rsid w:val="00830733"/>
    <w:rsid w:val="008336F2"/>
    <w:rsid w:val="00835D5E"/>
    <w:rsid w:val="00841B6B"/>
    <w:rsid w:val="00842B18"/>
    <w:rsid w:val="00844948"/>
    <w:rsid w:val="00853A9F"/>
    <w:rsid w:val="00853F0F"/>
    <w:rsid w:val="00856232"/>
    <w:rsid w:val="00861690"/>
    <w:rsid w:val="00866956"/>
    <w:rsid w:val="00876258"/>
    <w:rsid w:val="00877678"/>
    <w:rsid w:val="00897924"/>
    <w:rsid w:val="008A7BC5"/>
    <w:rsid w:val="008B25AC"/>
    <w:rsid w:val="008B3230"/>
    <w:rsid w:val="008B34C2"/>
    <w:rsid w:val="008B38A3"/>
    <w:rsid w:val="008B67E9"/>
    <w:rsid w:val="008B7F40"/>
    <w:rsid w:val="008C601C"/>
    <w:rsid w:val="008C714F"/>
    <w:rsid w:val="008C7779"/>
    <w:rsid w:val="008D1500"/>
    <w:rsid w:val="008D1C30"/>
    <w:rsid w:val="008D79DA"/>
    <w:rsid w:val="008F5DB5"/>
    <w:rsid w:val="008F6B10"/>
    <w:rsid w:val="0090059C"/>
    <w:rsid w:val="0090343C"/>
    <w:rsid w:val="00904F1F"/>
    <w:rsid w:val="0091298D"/>
    <w:rsid w:val="0091670F"/>
    <w:rsid w:val="009204B7"/>
    <w:rsid w:val="00921972"/>
    <w:rsid w:val="00923331"/>
    <w:rsid w:val="00923EA5"/>
    <w:rsid w:val="00924C6F"/>
    <w:rsid w:val="00933218"/>
    <w:rsid w:val="00937FF5"/>
    <w:rsid w:val="00941E95"/>
    <w:rsid w:val="00943E12"/>
    <w:rsid w:val="009463EE"/>
    <w:rsid w:val="009469CB"/>
    <w:rsid w:val="009469F1"/>
    <w:rsid w:val="009506D1"/>
    <w:rsid w:val="009535DE"/>
    <w:rsid w:val="00954285"/>
    <w:rsid w:val="009554B9"/>
    <w:rsid w:val="0096258D"/>
    <w:rsid w:val="00963B5A"/>
    <w:rsid w:val="00966F33"/>
    <w:rsid w:val="0097289C"/>
    <w:rsid w:val="009732B4"/>
    <w:rsid w:val="009765C4"/>
    <w:rsid w:val="009812C3"/>
    <w:rsid w:val="00981BC0"/>
    <w:rsid w:val="00991070"/>
    <w:rsid w:val="00993ABC"/>
    <w:rsid w:val="00993F8A"/>
    <w:rsid w:val="0099450C"/>
    <w:rsid w:val="00997817"/>
    <w:rsid w:val="009A0159"/>
    <w:rsid w:val="009A3613"/>
    <w:rsid w:val="009A777F"/>
    <w:rsid w:val="009B0A26"/>
    <w:rsid w:val="009B2B0B"/>
    <w:rsid w:val="009B6D9A"/>
    <w:rsid w:val="009B7BE3"/>
    <w:rsid w:val="009C38D8"/>
    <w:rsid w:val="009C73D8"/>
    <w:rsid w:val="009C7CD3"/>
    <w:rsid w:val="009D10D4"/>
    <w:rsid w:val="009D144A"/>
    <w:rsid w:val="009D165F"/>
    <w:rsid w:val="009D2C89"/>
    <w:rsid w:val="009D345C"/>
    <w:rsid w:val="009E079C"/>
    <w:rsid w:val="009E56FC"/>
    <w:rsid w:val="009F374A"/>
    <w:rsid w:val="009F4CF7"/>
    <w:rsid w:val="00A02372"/>
    <w:rsid w:val="00A149DF"/>
    <w:rsid w:val="00A17932"/>
    <w:rsid w:val="00A17A5A"/>
    <w:rsid w:val="00A2521B"/>
    <w:rsid w:val="00A26CDE"/>
    <w:rsid w:val="00A30483"/>
    <w:rsid w:val="00A32CAC"/>
    <w:rsid w:val="00A3785B"/>
    <w:rsid w:val="00A54CA5"/>
    <w:rsid w:val="00A55294"/>
    <w:rsid w:val="00A640A4"/>
    <w:rsid w:val="00A67209"/>
    <w:rsid w:val="00A727C6"/>
    <w:rsid w:val="00A77C2C"/>
    <w:rsid w:val="00A77D13"/>
    <w:rsid w:val="00A77DC7"/>
    <w:rsid w:val="00A80DA2"/>
    <w:rsid w:val="00A94FB2"/>
    <w:rsid w:val="00A95B08"/>
    <w:rsid w:val="00AA0E0E"/>
    <w:rsid w:val="00AB37A2"/>
    <w:rsid w:val="00AD3C7C"/>
    <w:rsid w:val="00AD417A"/>
    <w:rsid w:val="00AE0C90"/>
    <w:rsid w:val="00AE6C6A"/>
    <w:rsid w:val="00AE7B5D"/>
    <w:rsid w:val="00AF5061"/>
    <w:rsid w:val="00AF6A2C"/>
    <w:rsid w:val="00B004DA"/>
    <w:rsid w:val="00B01702"/>
    <w:rsid w:val="00B11AC9"/>
    <w:rsid w:val="00B12643"/>
    <w:rsid w:val="00B17B20"/>
    <w:rsid w:val="00B17EF6"/>
    <w:rsid w:val="00B223E9"/>
    <w:rsid w:val="00B265E9"/>
    <w:rsid w:val="00B306FB"/>
    <w:rsid w:val="00B35CB4"/>
    <w:rsid w:val="00B436DC"/>
    <w:rsid w:val="00B577BF"/>
    <w:rsid w:val="00B64715"/>
    <w:rsid w:val="00B6526B"/>
    <w:rsid w:val="00B66BB2"/>
    <w:rsid w:val="00B67E71"/>
    <w:rsid w:val="00B72E68"/>
    <w:rsid w:val="00B80276"/>
    <w:rsid w:val="00B8105D"/>
    <w:rsid w:val="00B812C5"/>
    <w:rsid w:val="00B86F28"/>
    <w:rsid w:val="00B9424D"/>
    <w:rsid w:val="00B94404"/>
    <w:rsid w:val="00B960CE"/>
    <w:rsid w:val="00BA2636"/>
    <w:rsid w:val="00BA5357"/>
    <w:rsid w:val="00BA5B7E"/>
    <w:rsid w:val="00BB0CCD"/>
    <w:rsid w:val="00BB27A3"/>
    <w:rsid w:val="00BC0B2C"/>
    <w:rsid w:val="00BC1441"/>
    <w:rsid w:val="00BC34E2"/>
    <w:rsid w:val="00BC79A1"/>
    <w:rsid w:val="00BD0322"/>
    <w:rsid w:val="00BD2C28"/>
    <w:rsid w:val="00BD2CAD"/>
    <w:rsid w:val="00BD6EE6"/>
    <w:rsid w:val="00BE0F19"/>
    <w:rsid w:val="00C01E07"/>
    <w:rsid w:val="00C01E66"/>
    <w:rsid w:val="00C058F6"/>
    <w:rsid w:val="00C12E80"/>
    <w:rsid w:val="00C138EA"/>
    <w:rsid w:val="00C17676"/>
    <w:rsid w:val="00C2599E"/>
    <w:rsid w:val="00C35705"/>
    <w:rsid w:val="00C364CA"/>
    <w:rsid w:val="00C365CD"/>
    <w:rsid w:val="00C42A5D"/>
    <w:rsid w:val="00C42FCA"/>
    <w:rsid w:val="00C4488A"/>
    <w:rsid w:val="00C46DA1"/>
    <w:rsid w:val="00C474E5"/>
    <w:rsid w:val="00C51372"/>
    <w:rsid w:val="00C516B3"/>
    <w:rsid w:val="00C54C91"/>
    <w:rsid w:val="00C60DE9"/>
    <w:rsid w:val="00C63F7A"/>
    <w:rsid w:val="00C646C5"/>
    <w:rsid w:val="00C64D34"/>
    <w:rsid w:val="00C773AC"/>
    <w:rsid w:val="00C8391D"/>
    <w:rsid w:val="00C84720"/>
    <w:rsid w:val="00C85404"/>
    <w:rsid w:val="00C879C5"/>
    <w:rsid w:val="00C9021F"/>
    <w:rsid w:val="00C94716"/>
    <w:rsid w:val="00C960A8"/>
    <w:rsid w:val="00CA01ED"/>
    <w:rsid w:val="00CA39AC"/>
    <w:rsid w:val="00CB1C45"/>
    <w:rsid w:val="00CB476E"/>
    <w:rsid w:val="00CC0827"/>
    <w:rsid w:val="00CD395E"/>
    <w:rsid w:val="00CD5638"/>
    <w:rsid w:val="00CE01AC"/>
    <w:rsid w:val="00D02FD3"/>
    <w:rsid w:val="00D207EB"/>
    <w:rsid w:val="00D47418"/>
    <w:rsid w:val="00D51EFE"/>
    <w:rsid w:val="00D5328E"/>
    <w:rsid w:val="00D54968"/>
    <w:rsid w:val="00D54BAF"/>
    <w:rsid w:val="00D61D99"/>
    <w:rsid w:val="00D64B87"/>
    <w:rsid w:val="00D73235"/>
    <w:rsid w:val="00D75E60"/>
    <w:rsid w:val="00D764B0"/>
    <w:rsid w:val="00D774B6"/>
    <w:rsid w:val="00D77722"/>
    <w:rsid w:val="00D80EF7"/>
    <w:rsid w:val="00D80F15"/>
    <w:rsid w:val="00D86B63"/>
    <w:rsid w:val="00D959F0"/>
    <w:rsid w:val="00DA0BDA"/>
    <w:rsid w:val="00DA14DF"/>
    <w:rsid w:val="00DB1F7E"/>
    <w:rsid w:val="00DB3B3A"/>
    <w:rsid w:val="00DC50FB"/>
    <w:rsid w:val="00DC52A1"/>
    <w:rsid w:val="00DC6CC6"/>
    <w:rsid w:val="00DD22F5"/>
    <w:rsid w:val="00DD6464"/>
    <w:rsid w:val="00DD71FA"/>
    <w:rsid w:val="00DE109B"/>
    <w:rsid w:val="00DE3306"/>
    <w:rsid w:val="00E006E2"/>
    <w:rsid w:val="00E02831"/>
    <w:rsid w:val="00E140DD"/>
    <w:rsid w:val="00E16814"/>
    <w:rsid w:val="00E20263"/>
    <w:rsid w:val="00E20BE8"/>
    <w:rsid w:val="00E2550E"/>
    <w:rsid w:val="00E278AB"/>
    <w:rsid w:val="00E33206"/>
    <w:rsid w:val="00E40F21"/>
    <w:rsid w:val="00E435AF"/>
    <w:rsid w:val="00E447E5"/>
    <w:rsid w:val="00E457AA"/>
    <w:rsid w:val="00E458D8"/>
    <w:rsid w:val="00E4688E"/>
    <w:rsid w:val="00E46B29"/>
    <w:rsid w:val="00E625BB"/>
    <w:rsid w:val="00E72ADD"/>
    <w:rsid w:val="00E7344F"/>
    <w:rsid w:val="00E73CE7"/>
    <w:rsid w:val="00E75DB5"/>
    <w:rsid w:val="00E7760E"/>
    <w:rsid w:val="00E840E1"/>
    <w:rsid w:val="00E85332"/>
    <w:rsid w:val="00E859CB"/>
    <w:rsid w:val="00E94977"/>
    <w:rsid w:val="00E949F7"/>
    <w:rsid w:val="00E95180"/>
    <w:rsid w:val="00E97B6F"/>
    <w:rsid w:val="00EA063F"/>
    <w:rsid w:val="00EA1C4F"/>
    <w:rsid w:val="00EA1DA9"/>
    <w:rsid w:val="00EB037C"/>
    <w:rsid w:val="00EB2467"/>
    <w:rsid w:val="00EB36F5"/>
    <w:rsid w:val="00EB711D"/>
    <w:rsid w:val="00EC3316"/>
    <w:rsid w:val="00EC3AE3"/>
    <w:rsid w:val="00EC43D9"/>
    <w:rsid w:val="00EC4B82"/>
    <w:rsid w:val="00EC76CB"/>
    <w:rsid w:val="00ED127F"/>
    <w:rsid w:val="00ED7183"/>
    <w:rsid w:val="00EE2FBB"/>
    <w:rsid w:val="00EE3BD7"/>
    <w:rsid w:val="00EE6064"/>
    <w:rsid w:val="00EF05D3"/>
    <w:rsid w:val="00EF29CB"/>
    <w:rsid w:val="00EF763B"/>
    <w:rsid w:val="00EF76FE"/>
    <w:rsid w:val="00EF7932"/>
    <w:rsid w:val="00F06EEC"/>
    <w:rsid w:val="00F11332"/>
    <w:rsid w:val="00F11EC9"/>
    <w:rsid w:val="00F164EF"/>
    <w:rsid w:val="00F16E95"/>
    <w:rsid w:val="00F205B5"/>
    <w:rsid w:val="00F218AC"/>
    <w:rsid w:val="00F245C5"/>
    <w:rsid w:val="00F3117A"/>
    <w:rsid w:val="00F31457"/>
    <w:rsid w:val="00F32DDA"/>
    <w:rsid w:val="00F3354D"/>
    <w:rsid w:val="00F34411"/>
    <w:rsid w:val="00F36F6C"/>
    <w:rsid w:val="00F42FE6"/>
    <w:rsid w:val="00F45222"/>
    <w:rsid w:val="00F46FB5"/>
    <w:rsid w:val="00F563A8"/>
    <w:rsid w:val="00F57C79"/>
    <w:rsid w:val="00F60B3F"/>
    <w:rsid w:val="00F61C46"/>
    <w:rsid w:val="00F61D65"/>
    <w:rsid w:val="00F64C9E"/>
    <w:rsid w:val="00F6655A"/>
    <w:rsid w:val="00F66CEC"/>
    <w:rsid w:val="00F70B90"/>
    <w:rsid w:val="00F70E87"/>
    <w:rsid w:val="00F7403F"/>
    <w:rsid w:val="00F752D5"/>
    <w:rsid w:val="00F81585"/>
    <w:rsid w:val="00F9085C"/>
    <w:rsid w:val="00F92FA0"/>
    <w:rsid w:val="00F940CA"/>
    <w:rsid w:val="00F9433A"/>
    <w:rsid w:val="00F96A2C"/>
    <w:rsid w:val="00FA427B"/>
    <w:rsid w:val="00FA47CF"/>
    <w:rsid w:val="00FB0C5B"/>
    <w:rsid w:val="00FB0F06"/>
    <w:rsid w:val="00FB12E6"/>
    <w:rsid w:val="00FB3B15"/>
    <w:rsid w:val="00FB6FC2"/>
    <w:rsid w:val="00FC0210"/>
    <w:rsid w:val="00FC4A7F"/>
    <w:rsid w:val="00FC4E85"/>
    <w:rsid w:val="00FC5D5E"/>
    <w:rsid w:val="00FC6A5D"/>
    <w:rsid w:val="00FE39C1"/>
    <w:rsid w:val="00FF11FE"/>
    <w:rsid w:val="00FF3238"/>
    <w:rsid w:val="00FF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D6925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3">
    <w:name w:val="Tabla con cuadrícula 4 - Énfasis 13"/>
    <w:basedOn w:val="Tablanormal"/>
    <w:uiPriority w:val="49"/>
    <w:rsid w:val="00F3145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combita\Documents\2-CACC-2019\Asistencia%20x%20Canales%20-%202019\IAXC%20Nov%202019\reporte%20sima%20Noviembre%202019%20-%20Editado%20-%20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/>
              <a:t>CANTIDAD DE CIUDADANOS ATENDIDOS POR DEPENDENCIAS - NOVIEMBRE 2019</a:t>
            </a:r>
          </a:p>
        </c:rich>
      </c:tx>
      <c:overlay val="0"/>
    </c:title>
    <c:autoTitleDeleted val="0"/>
    <c:view3D>
      <c:rotX val="0"/>
      <c:hPercent val="100"/>
      <c:rotY val="0"/>
      <c:depthPercent val="17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41168923329028317"/>
          <c:y val="1.4885699096225412E-2"/>
          <c:w val="0.55102681609243287"/>
          <c:h val="0.9424738893284272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'Gráficas &amp; Tablas'!$B$94</c:f>
              <c:strCache>
                <c:ptCount val="1"/>
                <c:pt idx="0">
                  <c:v>CANTIDAD DE CIUDADANOS ATENDIDOS POR DEPENDENCIAS - NOVIEMBRE 2019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7.055555555555555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291666666666730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9402777777777779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819444444444444E-3"/>
                  <c:y val="-4.311678586182770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01903497122620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2.83311199645861E-2"/>
                  <c:y val="1.03039670273055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'Gráficas &amp; Tablas'!$A$95:$A$103</c:f>
              <c:strCache>
                <c:ptCount val="9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  <c:pt idx="6">
                  <c:v>DIRECCION DE JURIDICA</c:v>
                </c:pt>
                <c:pt idx="7">
                  <c:v>DIRECCION DE GESTION CORPORATIVA Y CID</c:v>
                </c:pt>
                <c:pt idx="8">
                  <c:v>TOTAL</c:v>
                </c:pt>
              </c:strCache>
            </c:strRef>
          </c:cat>
          <c:val>
            <c:numRef>
              <c:f>'Gráficas &amp; Tablas'!$B$95:$B$103</c:f>
              <c:numCache>
                <c:formatCode>General</c:formatCode>
                <c:ptCount val="9"/>
                <c:pt idx="0">
                  <c:v>430</c:v>
                </c:pt>
                <c:pt idx="1">
                  <c:v>1211</c:v>
                </c:pt>
                <c:pt idx="2">
                  <c:v>665</c:v>
                </c:pt>
                <c:pt idx="3">
                  <c:v>25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  <c:pt idx="8">
                  <c:v>2343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56494336"/>
        <c:axId val="147744448"/>
        <c:axId val="0"/>
      </c:bar3DChart>
      <c:catAx>
        <c:axId val="156494336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 rot="0"/>
          <a:lstStyle/>
          <a:p>
            <a:pPr>
              <a:defRPr sz="800" b="1"/>
            </a:pPr>
            <a:endParaRPr lang="es-CO"/>
          </a:p>
        </c:txPr>
        <c:crossAx val="147744448"/>
        <c:crosses val="autoZero"/>
        <c:auto val="1"/>
        <c:lblAlgn val="ctr"/>
        <c:lblOffset val="100"/>
        <c:noMultiLvlLbl val="0"/>
      </c:catAx>
      <c:valAx>
        <c:axId val="147744448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5649433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PORCENTAJE DE CIUDADANOS ATENDIDOS POR DEPENDENCIAS - NOVIEMBRE 2019</a:t>
            </a:r>
          </a:p>
        </c:rich>
      </c:tx>
      <c:overlay val="0"/>
    </c:title>
    <c:autoTitleDeleted val="0"/>
    <c:view3D>
      <c:rotX val="30"/>
      <c:rotY val="17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'Gráficas &amp; Tablas'!$B$94</c:f>
              <c:strCache>
                <c:ptCount val="1"/>
                <c:pt idx="0">
                  <c:v>CANTIDAD DE CIUDADANOS ATENDIDOS POR DEPENDENCIAS - NOVIEMBRE 2019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metal">
              <a:bevelT w="165100" prst="coolSlant"/>
              <a:bevelB w="165100" prst="coolSlant"/>
            </a:sp3d>
          </c:spPr>
          <c:explosion val="25"/>
          <c:dPt>
            <c:idx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1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2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3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Pt>
            <c:idx val="4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 prstMaterial="metal">
                <a:bevelT w="165100" prst="coolSlant"/>
                <a:bevelB w="165100" prst="coolSlant"/>
              </a:sp3d>
            </c:spPr>
          </c:dPt>
          <c:dLbls>
            <c:dLbl>
              <c:idx val="0"/>
              <c:layout>
                <c:manualLayout>
                  <c:x val="0.13663636045494312"/>
                  <c:y val="-0.1799099122510676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4.2911817560157731E-2"/>
                  <c:y val="-6.048405954389666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28657800166495662"/>
                  <c:y val="2.636353311206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8783090113735784"/>
                  <c:y val="3.055568548980882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6.7555555555555549E-2"/>
                  <c:y val="6.69801179005978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0446964129483808E-2"/>
                  <c:y val="8.132325043527974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2917725284339457"/>
                  <c:y val="6.94543533496012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39378869641294839"/>
                  <c:y val="-7.017241219405878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5.7755450568678916E-2"/>
                  <c:y val="-7.651363068434337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txPr>
              <a:bodyPr/>
              <a:lstStyle/>
              <a:p>
                <a:pPr>
                  <a:defRPr sz="800" b="1"/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'Gráficas &amp; Tablas'!$A$95:$A$102</c:f>
              <c:strCache>
                <c:ptCount val="8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DIRECCION DE MEJORAMIENTO DE BARRIOS</c:v>
                </c:pt>
                <c:pt idx="5">
                  <c:v>SUBDIRECCION ADMINISTRATIVA</c:v>
                </c:pt>
                <c:pt idx="6">
                  <c:v>DIRECCION DE JURIDICA</c:v>
                </c:pt>
                <c:pt idx="7">
                  <c:v>DIRECCION DE GESTION CORPORATIVA Y CID</c:v>
                </c:pt>
              </c:strCache>
            </c:strRef>
          </c:cat>
          <c:val>
            <c:numRef>
              <c:f>'Gráficas &amp; Tablas'!$B$95:$B$102</c:f>
              <c:numCache>
                <c:formatCode>General</c:formatCode>
                <c:ptCount val="8"/>
                <c:pt idx="0">
                  <c:v>430</c:v>
                </c:pt>
                <c:pt idx="1">
                  <c:v>1211</c:v>
                </c:pt>
                <c:pt idx="2">
                  <c:v>665</c:v>
                </c:pt>
                <c:pt idx="3">
                  <c:v>25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rgbClr val="002060">
        <a:alpha val="5000"/>
      </a:srgbClr>
    </a:solidFill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/>
            </a:pPr>
            <a:r>
              <a:rPr lang="en-US" sz="1200"/>
              <a:t>RESULTADO</a:t>
            </a:r>
            <a:r>
              <a:rPr lang="en-US" sz="1200" baseline="0"/>
              <a:t> DE LAS LLAMADAS ENTRANTES</a:t>
            </a:r>
            <a:endParaRPr lang="en-US" sz="1200"/>
          </a:p>
        </c:rich>
      </c:tx>
      <c:layout>
        <c:manualLayout>
          <c:xMode val="edge"/>
          <c:yMode val="edge"/>
          <c:x val="0.25488933564155547"/>
          <c:y val="3.4575791662405833E-2"/>
        </c:manualLayout>
      </c:layout>
      <c:overlay val="0"/>
    </c:title>
    <c:autoTitleDeleted val="0"/>
    <c:view3D>
      <c:rotX val="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1"/>
          <c:order val="0"/>
          <c:tx>
            <c:strRef>
              <c:f>'Gráficas &amp; Tablas'!$B$87</c:f>
              <c:strCache>
                <c:ptCount val="1"/>
                <c:pt idx="0">
                  <c:v>No. De llamadas</c:v>
                </c:pt>
              </c:strCache>
            </c:strRef>
          </c:tx>
          <c:spPr>
            <a:solidFill>
              <a:schemeClr val="accent3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88,35%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92853483178295E-3"/>
                  <c:y val="-2.3002667720804667E-2"/>
                </c:manualLayout>
              </c:layout>
              <c:tx>
                <c:rich>
                  <a:bodyPr/>
                  <a:lstStyle/>
                  <a:p>
                    <a:pPr>
                      <a:defRPr sz="1200" b="1">
                        <a:solidFill>
                          <a:srgbClr val="FF0000"/>
                        </a:solidFill>
                      </a:defRPr>
                    </a:pPr>
                    <a:r>
                      <a:rPr lang="en-US" sz="1200" b="1">
                        <a:solidFill>
                          <a:srgbClr val="FF0000"/>
                        </a:solidFill>
                      </a:rPr>
                      <a:t>6,80%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pPr>
                <a:noFill/>
                <a:ln w="25400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 b="1">
                        <a:solidFill>
                          <a:sysClr val="windowText" lastClr="000000"/>
                        </a:solidFill>
                      </a:rPr>
                      <a:t>4,85%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100%</a:t>
                    </a:r>
                    <a:endParaRPr lang="en-US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es-CO"/>
              </a:p>
            </c:txPr>
            <c:showLegendKey val="0"/>
            <c:showVal val="0"/>
            <c:showCatName val="0"/>
            <c:showSerName val="1"/>
            <c:showPercent val="0"/>
            <c:showBubbleSize val="0"/>
            <c:showLeaderLines val="0"/>
          </c:dLbls>
          <c:cat>
            <c:strRef>
              <c:f>'Gráficas &amp; Tablas'!$A$88:$A$91</c:f>
              <c:strCache>
                <c:ptCount val="4"/>
                <c:pt idx="0">
                  <c:v>CONTESTADAS</c:v>
                </c:pt>
                <c:pt idx="1">
                  <c:v>NO CONTESTADAS</c:v>
                </c:pt>
                <c:pt idx="2">
                  <c:v>OCUPADA</c:v>
                </c:pt>
                <c:pt idx="3">
                  <c:v>TOTAL</c:v>
                </c:pt>
              </c:strCache>
            </c:strRef>
          </c:cat>
          <c:val>
            <c:numRef>
              <c:f>'Gráficas &amp; Tablas'!$B$88:$B$91</c:f>
              <c:numCache>
                <c:formatCode>General</c:formatCode>
                <c:ptCount val="4"/>
                <c:pt idx="0">
                  <c:v>91</c:v>
                </c:pt>
                <c:pt idx="1">
                  <c:v>7</c:v>
                </c:pt>
                <c:pt idx="2">
                  <c:v>5</c:v>
                </c:pt>
                <c:pt idx="3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56495360"/>
        <c:axId val="147746752"/>
        <c:axId val="0"/>
      </c:bar3DChart>
      <c:catAx>
        <c:axId val="156495360"/>
        <c:scaling>
          <c:orientation val="minMax"/>
        </c:scaling>
        <c:delete val="1"/>
        <c:axPos val="b"/>
        <c:majorTickMark val="out"/>
        <c:minorTickMark val="none"/>
        <c:tickLblPos val="nextTo"/>
        <c:crossAx val="147746752"/>
        <c:crosses val="autoZero"/>
        <c:auto val="1"/>
        <c:lblAlgn val="ctr"/>
        <c:lblOffset val="100"/>
        <c:noMultiLvlLbl val="0"/>
      </c:catAx>
      <c:valAx>
        <c:axId val="147746752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CO"/>
                  <a:t>Frecuencia</a:t>
                </a:r>
              </a:p>
            </c:rich>
          </c:tx>
          <c:layout>
            <c:manualLayout>
              <c:xMode val="edge"/>
              <c:yMode val="edge"/>
              <c:x val="2.1089704212505351E-2"/>
              <c:y val="0.31783345263660223"/>
            </c:manualLayout>
          </c:layout>
          <c:overlay val="0"/>
        </c:title>
        <c:numFmt formatCode="General" sourceLinked="1"/>
        <c:majorTickMark val="cross"/>
        <c:minorTickMark val="none"/>
        <c:tickLblPos val="low"/>
        <c:crossAx val="156495360"/>
        <c:crosses val="autoZero"/>
        <c:crossBetween val="between"/>
      </c:valAx>
      <c:dTable>
        <c:showHorzBorder val="1"/>
        <c:showVertBorder val="1"/>
        <c:showOutline val="1"/>
        <c:showKeys val="0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CO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s-CO" sz="1200"/>
              <a:t>CANAL TELEFÓNICO MES DE NOVIEMBRE DE 2019</a:t>
            </a:r>
            <a:r>
              <a:rPr lang="es-CO" sz="1200" baseline="0"/>
              <a:t> </a:t>
            </a:r>
            <a:r>
              <a:rPr lang="es-CO" sz="1200"/>
              <a:t>DISCRIMINADO POR DEPENDENCIA</a:t>
            </a:r>
          </a:p>
        </c:rich>
      </c:tx>
      <c:layout>
        <c:manualLayout>
          <c:xMode val="edge"/>
          <c:yMode val="edge"/>
          <c:x val="0.15562655686714882"/>
          <c:y val="3.5752824883526539E-2"/>
        </c:manualLayout>
      </c:layout>
      <c:overlay val="0"/>
    </c:title>
    <c:autoTitleDeleted val="0"/>
    <c:view3D>
      <c:rotX val="0"/>
      <c:hPercent val="133"/>
      <c:rotY val="0"/>
      <c:depthPercent val="100"/>
      <c:rAngAx val="0"/>
      <c:perspective val="80"/>
    </c:view3D>
    <c:floor>
      <c:thickness val="0"/>
      <c:spPr>
        <a:solidFill>
          <a:srgbClr val="002060">
            <a:alpha val="10000"/>
          </a:srgbClr>
        </a:solidFill>
      </c:spPr>
    </c:floor>
    <c:sideWall>
      <c:thickness val="0"/>
      <c:spPr>
        <a:solidFill>
          <a:srgbClr val="002060">
            <a:alpha val="10000"/>
          </a:srgbClr>
        </a:solidFill>
      </c:spPr>
    </c:sideWall>
    <c:backWall>
      <c:thickness val="0"/>
      <c:spPr>
        <a:solidFill>
          <a:srgbClr val="002060">
            <a:alpha val="10000"/>
          </a:srgbClr>
        </a:solidFill>
      </c:spPr>
    </c:backWall>
    <c:plotArea>
      <c:layout>
        <c:manualLayout>
          <c:layoutTarget val="inner"/>
          <c:xMode val="edge"/>
          <c:yMode val="edge"/>
          <c:x val="0.37707222081110831"/>
          <c:y val="0.17938599780290621"/>
          <c:w val="0.68669902373314451"/>
          <c:h val="0.67249763436992882"/>
        </c:manualLayout>
      </c:layout>
      <c:bar3DChart>
        <c:barDir val="bar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3"/>
            <c:invertIfNegative val="0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4"/>
            <c:invertIfNegative val="0"/>
            <c:bubble3D val="0"/>
            <c:spPr>
              <a:solidFill>
                <a:srgbClr val="00B0F0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</c:dPt>
          <c:dLbls>
            <c:dLbl>
              <c:idx val="0"/>
              <c:layout>
                <c:manualLayout>
                  <c:x val="2.469444444444444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16666666666666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986111111111113E-2"/>
                  <c:y val="1.03050957481337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458333333333334E-2"/>
                  <c:y val="2.061019149626744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'Gráficas &amp; Tablas'!$A$73:$A$79</c:f>
              <c:strCache>
                <c:ptCount val="7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  <c:pt idx="4">
                  <c:v>SUBDIRECCION ADMINISTRATIVA</c:v>
                </c:pt>
                <c:pt idx="5">
                  <c:v>DIRECCION DE GESTION CORPORATIVA Y CID</c:v>
                </c:pt>
                <c:pt idx="6">
                  <c:v>TOTAL</c:v>
                </c:pt>
              </c:strCache>
            </c:strRef>
          </c:cat>
          <c:val>
            <c:numRef>
              <c:f>'Gráficas &amp; Tablas'!$B$73:$B$79</c:f>
              <c:numCache>
                <c:formatCode>General</c:formatCode>
                <c:ptCount val="7"/>
                <c:pt idx="0">
                  <c:v>21</c:v>
                </c:pt>
                <c:pt idx="1">
                  <c:v>54</c:v>
                </c:pt>
                <c:pt idx="2">
                  <c:v>20</c:v>
                </c:pt>
                <c:pt idx="3">
                  <c:v>3</c:v>
                </c:pt>
                <c:pt idx="4">
                  <c:v>4</c:v>
                </c:pt>
                <c:pt idx="5">
                  <c:v>1</c:v>
                </c:pt>
                <c:pt idx="6">
                  <c:v>103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shape val="box"/>
        <c:axId val="160388096"/>
        <c:axId val="147748480"/>
        <c:axId val="0"/>
      </c:bar3DChart>
      <c:catAx>
        <c:axId val="160388096"/>
        <c:scaling>
          <c:orientation val="minMax"/>
        </c:scaling>
        <c:delete val="0"/>
        <c:axPos val="l"/>
        <c:numFmt formatCode="0.00%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es-CO"/>
          </a:p>
        </c:txPr>
        <c:crossAx val="147748480"/>
        <c:crosses val="autoZero"/>
        <c:auto val="1"/>
        <c:lblAlgn val="ctr"/>
        <c:lblOffset val="100"/>
        <c:noMultiLvlLbl val="0"/>
      </c:catAx>
      <c:valAx>
        <c:axId val="147748480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crossAx val="160388096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9F9C8-1BC7-4C5A-98A0-4A6D9F04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2015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2019-12-09T19:39:00Z</cp:lastPrinted>
  <dcterms:created xsi:type="dcterms:W3CDTF">2019-12-10T12:55:00Z</dcterms:created>
  <dcterms:modified xsi:type="dcterms:W3CDTF">2019-12-10T12:55:00Z</dcterms:modified>
</cp:coreProperties>
</file>